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28" w:rsidRPr="0073513C" w:rsidRDefault="00E44528" w:rsidP="00E44528">
      <w:pPr>
        <w:shd w:val="clear" w:color="auto" w:fill="FFFFFF"/>
        <w:spacing w:after="150" w:line="240" w:lineRule="auto"/>
        <w:jc w:val="center"/>
        <w:outlineLvl w:val="1"/>
        <w:rPr>
          <w:rFonts w:ascii="Arial" w:eastAsia="Times New Roman" w:hAnsi="Arial" w:cs="Arial"/>
          <w:color w:val="2C79B3"/>
          <w:sz w:val="27"/>
          <w:szCs w:val="27"/>
          <w:lang w:val="sq-AL" w:eastAsia="sq-AL"/>
        </w:rPr>
      </w:pPr>
      <w:r w:rsidRPr="0073513C">
        <w:rPr>
          <w:rFonts w:ascii="Arial" w:eastAsia="Times New Roman" w:hAnsi="Arial" w:cs="Arial"/>
          <w:color w:val="2C79B3"/>
          <w:sz w:val="27"/>
          <w:szCs w:val="27"/>
          <w:lang w:val="sq-AL" w:eastAsia="sq-AL"/>
        </w:rPr>
        <w:t>Regjistri i kërkesave dhe përgjigjeve</w:t>
      </w:r>
    </w:p>
    <w:p w:rsidR="00E44528" w:rsidRPr="0073513C" w:rsidRDefault="006C6516" w:rsidP="00E44528">
      <w:pPr>
        <w:spacing w:after="200" w:line="276" w:lineRule="auto"/>
        <w:jc w:val="center"/>
        <w:rPr>
          <w:rFonts w:ascii="Times New Roman" w:hAnsi="Times New Roman" w:cs="Times New Roman"/>
          <w:lang w:val="sq-AL" w:eastAsia="sq-AL"/>
        </w:rPr>
      </w:pPr>
      <w:r>
        <w:rPr>
          <w:rFonts w:ascii="Times New Roman" w:hAnsi="Times New Roman" w:cs="Times New Roman"/>
          <w:lang w:val="sq-AL" w:eastAsia="sq-AL"/>
        </w:rPr>
        <w:t>Maj</w:t>
      </w:r>
      <w:r w:rsidR="00E44528">
        <w:rPr>
          <w:rFonts w:ascii="Times New Roman" w:hAnsi="Times New Roman" w:cs="Times New Roman"/>
          <w:lang w:val="sq-AL" w:eastAsia="sq-AL"/>
        </w:rPr>
        <w:t xml:space="preserve"> - 2025</w:t>
      </w:r>
    </w:p>
    <w:p w:rsidR="00E44528" w:rsidRPr="0073513C" w:rsidRDefault="00E44528" w:rsidP="00E44528">
      <w:pPr>
        <w:spacing w:after="200" w:line="276" w:lineRule="auto"/>
        <w:rPr>
          <w:rFonts w:ascii="Times New Roman" w:hAnsi="Times New Roman" w:cs="Times New Roman"/>
          <w:lang w:val="sq-AL"/>
        </w:rPr>
      </w:pPr>
    </w:p>
    <w:tbl>
      <w:tblPr>
        <w:tblpPr w:leftFromText="180" w:rightFromText="180" w:vertAnchor="text" w:horzAnchor="margin" w:tblpXSpec="center" w:tblpY="236"/>
        <w:tblW w:w="1283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015"/>
        <w:gridCol w:w="1277"/>
        <w:gridCol w:w="3777"/>
        <w:gridCol w:w="1153"/>
        <w:gridCol w:w="3587"/>
        <w:gridCol w:w="1088"/>
        <w:gridCol w:w="940"/>
      </w:tblGrid>
      <w:tr w:rsidR="00E44528" w:rsidRPr="0073513C" w:rsidTr="00F4152E">
        <w:trPr>
          <w:cantSplit/>
          <w:trHeight w:val="1682"/>
        </w:trPr>
        <w:tc>
          <w:tcPr>
            <w:tcW w:w="1015"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Nr. Rendor</w:t>
            </w:r>
          </w:p>
        </w:tc>
        <w:tc>
          <w:tcPr>
            <w:tcW w:w="12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kërkesës</w:t>
            </w:r>
          </w:p>
        </w:tc>
        <w:tc>
          <w:tcPr>
            <w:tcW w:w="37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Objekti i kërkesës                                                                                                                                      </w:t>
            </w:r>
          </w:p>
        </w:tc>
        <w:tc>
          <w:tcPr>
            <w:tcW w:w="1153"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përgjigjes</w:t>
            </w:r>
          </w:p>
        </w:tc>
        <w:tc>
          <w:tcPr>
            <w:tcW w:w="358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 xml:space="preserve">Përgjigje  </w:t>
            </w:r>
          </w:p>
        </w:tc>
        <w:tc>
          <w:tcPr>
            <w:tcW w:w="1088" w:type="dxa"/>
            <w:tcBorders>
              <w:top w:val="single" w:sz="8" w:space="0" w:color="auto"/>
              <w:left w:val="single" w:sz="8" w:space="0" w:color="auto"/>
              <w:bottom w:val="single" w:sz="8" w:space="0" w:color="auto"/>
              <w:right w:val="single" w:sz="4"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Mënyra e </w:t>
            </w:r>
          </w:p>
          <w:p w:rsidR="00E44528" w:rsidRPr="0073513C" w:rsidRDefault="00E44528" w:rsidP="00F4152E">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përfundimit </w:t>
            </w:r>
          </w:p>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të kërkesës</w:t>
            </w:r>
          </w:p>
        </w:tc>
        <w:tc>
          <w:tcPr>
            <w:tcW w:w="940" w:type="dxa"/>
            <w:tcBorders>
              <w:top w:val="single" w:sz="8" w:space="0" w:color="auto"/>
              <w:left w:val="single" w:sz="4" w:space="0" w:color="auto"/>
              <w:bottom w:val="single" w:sz="8" w:space="0" w:color="auto"/>
              <w:right w:val="single" w:sz="8" w:space="0" w:color="auto"/>
            </w:tcBorders>
            <w:shd w:val="clear" w:color="auto" w:fill="5B9BD5"/>
          </w:tcPr>
          <w:p w:rsidR="00E44528" w:rsidRPr="0073513C" w:rsidRDefault="00E44528" w:rsidP="00F4152E">
            <w:pPr>
              <w:spacing w:after="200" w:line="276" w:lineRule="auto"/>
              <w:jc w:val="center"/>
              <w:rPr>
                <w:rFonts w:ascii="Times New Roman" w:eastAsia="Times New Roman" w:hAnsi="Times New Roman" w:cs="Times New Roman"/>
                <w:b/>
                <w:bCs/>
                <w:color w:val="000000"/>
                <w:lang w:val="sq-AL" w:eastAsia="sq-AL"/>
              </w:rPr>
            </w:pPr>
            <w:r w:rsidRPr="0073513C">
              <w:rPr>
                <w:rFonts w:ascii="Times New Roman" w:eastAsia="Times New Roman" w:hAnsi="Times New Roman" w:cs="Times New Roman"/>
                <w:b/>
                <w:bCs/>
                <w:color w:val="000000"/>
                <w:lang w:val="sq-AL" w:eastAsia="sq-AL"/>
              </w:rPr>
              <w:t>Tarifa</w:t>
            </w:r>
          </w:p>
          <w:p w:rsidR="00E44528" w:rsidRPr="0073513C" w:rsidRDefault="00E44528" w:rsidP="00F4152E">
            <w:pPr>
              <w:spacing w:after="0" w:line="240" w:lineRule="auto"/>
              <w:rPr>
                <w:rFonts w:ascii="Times New Roman" w:eastAsia="Times New Roman" w:hAnsi="Times New Roman" w:cs="Times New Roman"/>
                <w:color w:val="000000"/>
                <w:lang w:val="sq-AL" w:eastAsia="sq-AL"/>
              </w:rPr>
            </w:pPr>
          </w:p>
        </w:tc>
      </w:tr>
      <w:tr w:rsidR="0090330D"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r w:rsidRPr="0073513C">
              <w:rPr>
                <w:rFonts w:ascii="Times New Roman" w:eastAsia="Times New Roman" w:hAnsi="Times New Roman" w:cs="Times New Roman"/>
                <w:color w:val="000000"/>
                <w:sz w:val="20"/>
                <w:szCs w:val="20"/>
                <w:lang w:val="sq-AL" w:eastAsia="sq-AL"/>
              </w:rPr>
              <w:t>1</w:t>
            </w:r>
            <w:r>
              <w:rPr>
                <w:rFonts w:ascii="Times New Roman" w:eastAsia="Times New Roman" w:hAnsi="Times New Roman" w:cs="Times New Roman"/>
                <w:color w:val="000000"/>
                <w:sz w:val="20"/>
                <w:szCs w:val="20"/>
                <w:lang w:val="sq-AL" w:eastAsia="sq-AL"/>
              </w:rPr>
              <w:t>.</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16.05.</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Në përgjigjen që Shërbimi Social Shtetëror na ka vënë në dispozicion thuhet që në</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shtëpinë e fëmijës në Vlorë në 5 vitet e fundit ka rënë numri i fëmijëve deri në zero fëmijë.</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 Ku kanë shkuar këta fëmijë?</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2. Sa është numri i personave që janë të punësuar në këtë institucion?</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3. Sa ka qenë buxheti i akorduar nga Bashkia Vlorë për shtëpinë e fëmijës</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lastRenderedPageBreak/>
              <w:t>për gjashtë vitet e fundit? (2020, 2021, 2022, 2023, 2024, 2025)</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4: Ku shkojnë këto të ardhura, si shpërndahen?</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7: Shtëpia e Fëmijës 0 – 5 në Vlorë është në proces transformimi në kuadër të</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planit të deinstitcionalizimit. Çfarë do të thotë konkretisht kjo?</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5: Sa është buxheti i ndarë në muaj për një fëmijë dhe si shpenzohen ato konkretisht?</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6: A keni pasur raste kur nuk keni pranuar një fëmijë për t’u bërë pjesë e “Shtëpisë së</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r w:rsidRPr="00702CB2">
              <w:rPr>
                <w:rFonts w:ascii="Times New Roman" w:eastAsia="Times New Roman" w:hAnsi="Times New Roman" w:cs="Times New Roman"/>
                <w:color w:val="000000"/>
                <w:sz w:val="24"/>
                <w:szCs w:val="24"/>
                <w:lang w:eastAsia="sq-AL"/>
              </w:rPr>
              <w:t xml:space="preserve">fëmijës”?  </w:t>
            </w:r>
          </w:p>
          <w:p w:rsidR="0090330D" w:rsidRPr="00702CB2" w:rsidRDefault="0090330D" w:rsidP="00F4152E">
            <w:pPr>
              <w:spacing w:after="200" w:line="276" w:lineRule="auto"/>
              <w:rPr>
                <w:rFonts w:ascii="Times New Roman" w:eastAsia="Times New Roman" w:hAnsi="Times New Roman" w:cs="Times New Roman"/>
                <w:color w:val="000000"/>
                <w:sz w:val="24"/>
                <w:szCs w:val="24"/>
                <w:lang w:val="sq-AL" w:eastAsia="sq-AL"/>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0330D" w:rsidRPr="0073513C" w:rsidRDefault="00251AB6"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11.06.</w:t>
            </w: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Pika 1.</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Me krijimin e marrëveshjes së bashkëpunimit ndërmjet Bashkisë Vlorë, Drejtorisë Rajonale të Shërbimit Social Shtetëror Vlorë, Nisma për Ndryshim Shoqëror- ARSIS</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xml:space="preserve">(organizatë jo-fitimprurëse) me nr. 804 prot. datë 30.01.2019, dokument i dalë nga Bashkia Vlorë ( gjenden në protokollin e bashkisë Vlorë), u siguroi gjithë rezidentëve familje birësuese </w:t>
            </w:r>
            <w:r w:rsidRPr="00251AB6">
              <w:rPr>
                <w:rFonts w:ascii="Times New Roman" w:eastAsia="Times New Roman" w:hAnsi="Times New Roman" w:cs="Times New Roman"/>
                <w:color w:val="000000"/>
                <w:sz w:val="27"/>
                <w:szCs w:val="27"/>
                <w:lang w:eastAsia="en-GB"/>
              </w:rPr>
              <w:lastRenderedPageBreak/>
              <w:t>dhe kujdes alternativ si dhe rikthim në familjet biologjike.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Me miratimin e procesit të deinstitucionalizimit dhe me miratimin e VKM-së nr. 706 , datë 09.09.2020, institucioni funksiononte si një qendër rezidenciale dhe ditore për foshnjat e braktisura ose në nevojë, duke siguruar kujdes bazik mjekësor, higjenik dhe ushqim për grupmoshën 0-6 vjec.</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Çdo lëvizje rezidenti është bërë në bashkëpunim me organet përgjegjëse për birësim, duke zbatuar ligjin dhe të drejtën për të pasur familje e mbi të gjitha për interesin më të lartë të fëmijës.</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Organet përgjegjëse dhe hapat për birësim ishin:</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lastRenderedPageBreak/>
              <w:t>· Shtëpia e Foshnjes e cila merrte kujdestarinë e fëmijëve që nuk kishin kujdes prindëror.</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Shërbimi Social Shtetëror</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Komiteti Shqipëtar i Birësimit i cili përshtaste dhe miratonte birësimet kombëtare dhe ndërkombëtare si dhe mbikëqyrte procedurën.</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Gjykata- jepte vendimin përfundimtarë për birësimin.</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______________________________________________________________________ Adresa:Lgj “Uji i Ftohtë”; Fax 033421201: www.vlora.gov.al; E-mail: info@vlora.gov.al</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xml:space="preserve">Me miratimin e VKM-së 706, datë 09.09.2020, e cila gjendet në fletoren zyrtare të Ministrisë së Shëndetësisë.Pas Miratimit të VKM-së për deinstitucionalizimin, </w:t>
            </w:r>
            <w:r w:rsidRPr="00251AB6">
              <w:rPr>
                <w:rFonts w:ascii="Times New Roman" w:eastAsia="Times New Roman" w:hAnsi="Times New Roman" w:cs="Times New Roman"/>
                <w:color w:val="000000"/>
                <w:sz w:val="27"/>
                <w:szCs w:val="27"/>
                <w:lang w:eastAsia="en-GB"/>
              </w:rPr>
              <w:lastRenderedPageBreak/>
              <w:t>funksionon njëtet Drejtues i cili mblidhet për të shqyrtuar këtë proces.</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Ky vendim nisi reformën e deinstitucionalizimit që synon:</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Profesionalizmin e shërbimeve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Kalimin nga modeli rezidencial në kujdes komunitar ndër familje/ foster care.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Standartizimin e kushteve dhe tranjmeve për stafin.</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Pika 2</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Numri i punonjësve që punojnë aktualisht në IPSH është 20.</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Pika 7</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Qëllimi i planit për deinstitucionalizimin</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lastRenderedPageBreak/>
              <w:t>Të sigurohet që fëmijët, personat me aftësi të kufizuar dhe të moshuarit, që aktualisht jetojnë në institucione të kujdesit social, të kenë mundësi të jetojnë në një mjedis familjar ose të ngjashëm me familjen, duke respektuar dinjitetitn, të drejtat dhe nevojat e tyre individuale.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Sipas Konvetës për të Drejtat e Fëmijës, çdo fëmijë ka të drejtë të rritet në një mjedis familjar.</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Deinstitucionalizimi është një organizim ligjor dhe ndërkombëtar në interesin më të lartë fëmijën!</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Shqipëria ka detyrime ndërkombëtare ( p.sh. Konventa për të Drejtat e Fëmijës dhe Konventa për të Drejtat e Personave me Aftësi te Kufizuara).</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lastRenderedPageBreak/>
              <w:t>* Këto konventa ndalojnë institucionalizimin afatgjatë dhe kërkojnë alternativa të sigurta dhe cilësore në komunitet.</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Pika 6</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Objektivat kryesore të Planit</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Mbyllja graduale e institucioneve rezidenciale dhe mos hapja e të rejave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Zhvillimi i shërbimeve alternative në komunitet si:</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kujdesi në familje pritëse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birësimi</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shtëpi të vogla rezidenciale në komunitet ( grup-home)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qendra ditore dhe shërbime mbështetëse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xml:space="preserve">* Mbështetje për familjet biologjike për të parandaluar </w:t>
            </w:r>
            <w:r w:rsidRPr="00251AB6">
              <w:rPr>
                <w:rFonts w:ascii="Times New Roman" w:eastAsia="Times New Roman" w:hAnsi="Times New Roman" w:cs="Times New Roman"/>
                <w:color w:val="000000"/>
                <w:sz w:val="27"/>
                <w:szCs w:val="27"/>
                <w:lang w:eastAsia="en-GB"/>
              </w:rPr>
              <w:lastRenderedPageBreak/>
              <w:t>braktisjen apo intitucionalizimin.</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Riorganizim i institucioneve ekzistuese për t’u kthyer në qendra komunitare.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Rritja e kapaciteteve të profesionistëve në mbrojtjen sociale dhe shërbime sociale.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Fuqizimi i pushtetit vendor për të ofruar shërbime sociale të decentralizuara.</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Pika 3</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Buxheti për vitet 2020-2024 i bashkisë Vlorë</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Vitet Nr. i femijve Plan ( 602 ) Plan 231</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2020 23 1900000 350000</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2021 20 1900000</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2022 13 2000000 350000</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lastRenderedPageBreak/>
              <w:t>2023 8 2000000</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2024 1 820000</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Pika 4 Këto fonde të akorduara nga bashkia janë përdorur për mirëqënien dhe mirërritjen e fëmijëve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ku numri i tyre ka ardhur duke u zvogëluar (sipas V.K.M. nr 706 dt 9/9/2020 )</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Ndër vite këto fonde janë përdorur për artikuj shkollor , pampersa , detergjentë,</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enë kuzhine , karburant , medikamente farmaceutike . Gjithashtu një pjesë e tyre janë përdorur</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për riparime , mirëmbajtje hidraulike dhe elektrike, shërbim roje dhe blerje të pajisjeve ( kompjutera</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lastRenderedPageBreak/>
              <w:t>,fotokopje, kondicionerë sobë gatimi etj )</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Në vitin 2024 dhe vitin 2025 fondi i akorduar nga Bashkia Vlorë është për zërin “Shërbim roje objekti”. Pika 5 Ky buxhet shpenzohet i ndarë në pjesë sipas kohës dhe nevojave të fëmijëve. Për çdo fëmi kostoja ditore përfshin (nevojat për veshje, pampers, lodra për argëtim, artikuj shkollor për orët mësimore), këto sipas grupmoshave të fëmijëve.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Kuadri ligjor dhe strategjik</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Plani për deinstitucionalizimin mbështetet në: Ligjin nr. 121/2016 “ Për shërbimet e kujdesit shoqëror në Republikën e Shqipërisë”.</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lastRenderedPageBreak/>
              <w:t>· Strategjia Kombëtare për Mbrojtjen e Fëmijëve 2021-2026.</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Plani Kombëtar për Deinstitucionalizimin e Shërbimeve të Kujdesit Social 2023- 2030 ( në proces zbatimi nga Ministria e Shëndetësisë dhe Mbrojtjes Sociale).</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 Konventa për të Drejtat e Fëmijës dhe Konventa për të Drejtat e Personave me Aftësi të Kufizuar (OKB).</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51AB6">
              <w:rPr>
                <w:rFonts w:ascii="Times New Roman" w:eastAsia="Times New Roman" w:hAnsi="Times New Roman" w:cs="Times New Roman"/>
                <w:color w:val="000000"/>
                <w:sz w:val="27"/>
                <w:szCs w:val="27"/>
                <w:lang w:eastAsia="en-GB"/>
              </w:rPr>
              <w:t>Plani për Deinstitucionalizimin në Shqipëri është një dokument strategjik që synon zhvendosjen nga përkujdesja rezidenciale (jetesa në institucione) drejt shërbimeve alternative në komunitet, si kujdesi familjar, kujdesi në familje pritëse (foster care), birësimi dhe shërbimet mbështetëse në komunitet.</w:t>
            </w:r>
          </w:p>
          <w:p w:rsidR="00251AB6" w:rsidRPr="00251AB6" w:rsidRDefault="00251AB6" w:rsidP="00251AB6">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90330D" w:rsidRPr="0073513C" w:rsidRDefault="00251AB6"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E plotë</w:t>
            </w: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90330D" w:rsidRPr="0073513C" w:rsidRDefault="00251AB6"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Nuk ka </w:t>
            </w:r>
          </w:p>
        </w:tc>
      </w:tr>
      <w:tr w:rsidR="00544DEA"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2</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23.05.</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b/>
                <w:bCs/>
                <w:sz w:val="24"/>
                <w:szCs w:val="24"/>
                <w:lang w:val="en-US"/>
              </w:rPr>
              <w:t>Lista e mjeteve në pronësi ose në përdorim nga Nj.A. Novoselë</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sz w:val="24"/>
                <w:szCs w:val="24"/>
                <w:lang w:val="en-US"/>
              </w:rPr>
              <w:t>1.1 Numri identifikues, marka/tipi, viti i prodhimit dhe numri i shasisë për secilin automjet;</w:t>
            </w:r>
            <w:r w:rsidRPr="00702CB2">
              <w:rPr>
                <w:rFonts w:ascii="Times New Roman" w:hAnsi="Times New Roman" w:cs="Times New Roman"/>
                <w:sz w:val="24"/>
                <w:szCs w:val="24"/>
                <w:lang w:val="en-US"/>
              </w:rPr>
              <w:br/>
              <w:t>1.2 Statusi aktual (në punë, në servis, magazinë, jashtë funksionit, i çmontuar për skrap);</w:t>
            </w:r>
            <w:r w:rsidRPr="00702CB2">
              <w:rPr>
                <w:rFonts w:ascii="Times New Roman" w:hAnsi="Times New Roman" w:cs="Times New Roman"/>
                <w:sz w:val="24"/>
                <w:szCs w:val="24"/>
                <w:lang w:val="en-US"/>
              </w:rPr>
              <w:br/>
              <w:t>1.3 Dokumentet e regjistrimit dhe qarkullimit (dublikatë libreze qarkullimi, certifikatë pronësie etj.).</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b/>
                <w:bCs/>
                <w:sz w:val="24"/>
                <w:szCs w:val="24"/>
                <w:lang w:val="en-US"/>
              </w:rPr>
              <w:t>2. Karburanti</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sz w:val="24"/>
                <w:szCs w:val="24"/>
                <w:lang w:val="en-US"/>
              </w:rPr>
              <w:t>2.1 Sasia mujore e karburantit (në litra) të alokuar dhe marrë faktikisht për secilin automjet gjatë periudhave 01.01.2022 – 30.04.2025 (tabela mujore);</w:t>
            </w:r>
            <w:r w:rsidRPr="00702CB2">
              <w:rPr>
                <w:rFonts w:ascii="Times New Roman" w:hAnsi="Times New Roman" w:cs="Times New Roman"/>
                <w:sz w:val="24"/>
                <w:szCs w:val="24"/>
                <w:lang w:val="en-US"/>
              </w:rPr>
              <w:br/>
              <w:t>2.2 Urdhër</w:t>
            </w:r>
            <w:r w:rsidRPr="00702CB2">
              <w:rPr>
                <w:rFonts w:ascii="Times New Roman" w:hAnsi="Times New Roman" w:cs="Times New Roman"/>
                <w:sz w:val="24"/>
                <w:szCs w:val="24"/>
                <w:lang w:val="en-US"/>
              </w:rPr>
              <w:noBreakHyphen/>
              <w:t>shpenzimet, fletët e udhëtimit, faturat e furnizimit dhe firmat e drejtuesve për çdo muaj;</w:t>
            </w:r>
            <w:r w:rsidRPr="00702CB2">
              <w:rPr>
                <w:rFonts w:ascii="Times New Roman" w:hAnsi="Times New Roman" w:cs="Times New Roman"/>
                <w:sz w:val="24"/>
                <w:szCs w:val="24"/>
                <w:lang w:val="en-US"/>
              </w:rPr>
              <w:br/>
              <w:t xml:space="preserve">2.3 Arsyet/sqarimet zyrtare pse vijon furnizimi me 800–900 litra karburant në muaj edhe për mjete të cilat, sipas verifikimeve paraprake, nuk janë </w:t>
            </w:r>
            <w:r w:rsidRPr="00702CB2">
              <w:rPr>
                <w:rFonts w:ascii="Times New Roman" w:hAnsi="Times New Roman" w:cs="Times New Roman"/>
                <w:sz w:val="24"/>
                <w:szCs w:val="24"/>
                <w:lang w:val="en-US"/>
              </w:rPr>
              <w:lastRenderedPageBreak/>
              <w:t>funksionale (Kama AA 619 GS, AA 563 XX, fadron, motokorrëse etj.).</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b/>
                <w:bCs/>
                <w:sz w:val="24"/>
                <w:szCs w:val="24"/>
                <w:lang w:val="en-US"/>
              </w:rPr>
              <w:t>3. Drejtuesit e mjeteve</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sz w:val="24"/>
                <w:szCs w:val="24"/>
                <w:lang w:val="en-US"/>
              </w:rPr>
              <w:t>3.1 Lista e emrave, numrave personalë dhe kontratave të punës për shoferët e secilit automjet;</w:t>
            </w:r>
            <w:r w:rsidRPr="00702CB2">
              <w:rPr>
                <w:rFonts w:ascii="Times New Roman" w:hAnsi="Times New Roman" w:cs="Times New Roman"/>
                <w:sz w:val="24"/>
                <w:szCs w:val="24"/>
                <w:lang w:val="en-US"/>
              </w:rPr>
              <w:br/>
              <w:t>3.2 Detyrat konkrete të shërbimit (linja punë</w:t>
            </w:r>
            <w:r w:rsidRPr="00702CB2">
              <w:rPr>
                <w:rFonts w:ascii="Times New Roman" w:hAnsi="Times New Roman" w:cs="Times New Roman"/>
                <w:sz w:val="24"/>
                <w:szCs w:val="24"/>
                <w:lang w:val="en-US"/>
              </w:rPr>
              <w:noBreakHyphen/>
              <w:t>terren, destinacioni, lloji i shërbimit);</w:t>
            </w:r>
            <w:r w:rsidRPr="00702CB2">
              <w:rPr>
                <w:rFonts w:ascii="Times New Roman" w:hAnsi="Times New Roman" w:cs="Times New Roman"/>
                <w:sz w:val="24"/>
                <w:szCs w:val="24"/>
                <w:lang w:val="en-US"/>
              </w:rPr>
              <w:br/>
              <w:t>3.3 Fletët e komandimeve dhe grafiku i përdorimit të mjeteve për periudhën 01.01.2024 – 30.04.2025.</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b/>
                <w:bCs/>
                <w:sz w:val="24"/>
                <w:szCs w:val="24"/>
                <w:lang w:val="en-US"/>
              </w:rPr>
              <w:t>4. Kolaudimi dhe siguracioni teknik</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sz w:val="24"/>
                <w:szCs w:val="24"/>
                <w:lang w:val="en-US"/>
              </w:rPr>
              <w:t>4.1 Certifikatat e kolaudimit periodik (ITV) të secilit automjet për vitet 2023 dhe 2024;</w:t>
            </w:r>
            <w:r w:rsidRPr="00702CB2">
              <w:rPr>
                <w:rFonts w:ascii="Times New Roman" w:hAnsi="Times New Roman" w:cs="Times New Roman"/>
                <w:sz w:val="24"/>
                <w:szCs w:val="24"/>
                <w:lang w:val="en-US"/>
              </w:rPr>
              <w:br/>
              <w:t>4.2 Sigurimi i detyrueshëm i mjetit (polica TPL) dhe data e skadencës;</w:t>
            </w:r>
            <w:r w:rsidRPr="00702CB2">
              <w:rPr>
                <w:rFonts w:ascii="Times New Roman" w:hAnsi="Times New Roman" w:cs="Times New Roman"/>
                <w:sz w:val="24"/>
                <w:szCs w:val="24"/>
                <w:lang w:val="en-US"/>
              </w:rPr>
              <w:br/>
              <w:t>4.3 Procesverbalet/urdhrat e pezullimit ose të nxjerrjes jashtë përdorimit, nëse ka.</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b/>
                <w:bCs/>
                <w:sz w:val="24"/>
                <w:szCs w:val="24"/>
                <w:lang w:val="en-US"/>
              </w:rPr>
              <w:t>5. Procedura e monitorimit</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sz w:val="24"/>
                <w:szCs w:val="24"/>
                <w:lang w:val="en-US"/>
              </w:rPr>
              <w:t xml:space="preserve">5.1 Vendimet ose urdhrat e brendshëm që përcaktojnë kriteret e </w:t>
            </w:r>
            <w:r w:rsidRPr="00702CB2">
              <w:rPr>
                <w:rFonts w:ascii="Times New Roman" w:hAnsi="Times New Roman" w:cs="Times New Roman"/>
                <w:sz w:val="24"/>
                <w:szCs w:val="24"/>
                <w:lang w:val="en-US"/>
              </w:rPr>
              <w:lastRenderedPageBreak/>
              <w:t>shpërndarjes së karburantit;</w:t>
            </w:r>
            <w:r w:rsidRPr="00702CB2">
              <w:rPr>
                <w:rFonts w:ascii="Times New Roman" w:hAnsi="Times New Roman" w:cs="Times New Roman"/>
                <w:sz w:val="24"/>
                <w:szCs w:val="24"/>
                <w:lang w:val="en-US"/>
              </w:rPr>
              <w:br/>
              <w:t>5.2 Masat disiplinore ose hetimet e brendshme (nëse ekzistojnë) ndaj punonjësve përgjegjës për abuzimet e mundshme me fondet e karburantit.</w:t>
            </w:r>
          </w:p>
          <w:p w:rsidR="00544DEA" w:rsidRPr="00702CB2" w:rsidRDefault="00544DEA" w:rsidP="00544DEA">
            <w:pPr>
              <w:rPr>
                <w:rFonts w:ascii="Times New Roman" w:hAnsi="Times New Roman" w:cs="Times New Roman"/>
                <w:sz w:val="24"/>
                <w:szCs w:val="24"/>
                <w:lang w:val="en-US"/>
              </w:rPr>
            </w:pPr>
            <w:r w:rsidRPr="00702CB2">
              <w:rPr>
                <w:rFonts w:ascii="Times New Roman" w:hAnsi="Times New Roman" w:cs="Times New Roman"/>
                <w:sz w:val="24"/>
                <w:szCs w:val="24"/>
                <w:lang w:val="en-US"/>
              </w:rPr>
              <w:t> </w:t>
            </w:r>
          </w:p>
          <w:p w:rsidR="00544DEA" w:rsidRPr="00702CB2" w:rsidRDefault="00544DEA" w:rsidP="00544DEA">
            <w:pPr>
              <w:spacing w:after="0" w:line="360" w:lineRule="auto"/>
              <w:ind w:right="57"/>
              <w:rPr>
                <w:rFonts w:ascii="Times New Roman" w:eastAsia="Times New Roman" w:hAnsi="Times New Roman" w:cs="Times New Roman"/>
                <w:color w:val="000000"/>
                <w:sz w:val="24"/>
                <w:szCs w:val="24"/>
                <w:lang w:eastAsia="sq-AL"/>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r>
      <w:tr w:rsidR="00544DEA"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3.</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23.05.</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544DEA" w:rsidP="00544DEA">
            <w:pPr>
              <w:numPr>
                <w:ilvl w:val="0"/>
                <w:numId w:val="6"/>
              </w:numPr>
              <w:spacing w:before="100" w:beforeAutospacing="1" w:after="100" w:afterAutospacing="1" w:line="240" w:lineRule="auto"/>
              <w:rPr>
                <w:rFonts w:ascii="Times New Roman" w:eastAsia="Times New Roman" w:hAnsi="Times New Roman"/>
                <w:lang w:val="en-US"/>
              </w:rPr>
            </w:pPr>
            <w:r>
              <w:rPr>
                <w:rFonts w:ascii="Times New Roman" w:eastAsia="Times New Roman" w:hAnsi="Times New Roman"/>
                <w:lang w:val="en-US"/>
              </w:rPr>
              <w:t>Përse shkolla ende nuk është funksionale?</w:t>
            </w:r>
          </w:p>
          <w:p w:rsidR="00544DEA" w:rsidRDefault="00544DEA" w:rsidP="00544DEA">
            <w:pPr>
              <w:numPr>
                <w:ilvl w:val="0"/>
                <w:numId w:val="6"/>
              </w:numPr>
              <w:spacing w:before="100" w:beforeAutospacing="1" w:after="100" w:afterAutospacing="1" w:line="240" w:lineRule="auto"/>
              <w:rPr>
                <w:rFonts w:ascii="Times New Roman" w:eastAsia="Times New Roman" w:hAnsi="Times New Roman"/>
                <w:lang w:val="en-US"/>
              </w:rPr>
            </w:pPr>
            <w:r>
              <w:rPr>
                <w:rFonts w:ascii="Times New Roman" w:eastAsia="Times New Roman" w:hAnsi="Times New Roman"/>
                <w:lang w:val="en-US"/>
              </w:rPr>
              <w:t>A është kryer kolaudimi i objektit dhe a është marrë në dorëzim nga institucionet përkatëse?</w:t>
            </w:r>
          </w:p>
          <w:p w:rsidR="00544DEA" w:rsidRDefault="00544DEA" w:rsidP="00544DEA">
            <w:pPr>
              <w:numPr>
                <w:ilvl w:val="0"/>
                <w:numId w:val="6"/>
              </w:numPr>
              <w:spacing w:before="100" w:beforeAutospacing="1" w:after="100" w:afterAutospacing="1" w:line="240" w:lineRule="auto"/>
              <w:rPr>
                <w:rFonts w:ascii="Times New Roman" w:eastAsia="Times New Roman" w:hAnsi="Times New Roman"/>
                <w:lang w:val="en-US"/>
              </w:rPr>
            </w:pPr>
            <w:r>
              <w:rPr>
                <w:rFonts w:ascii="Times New Roman" w:eastAsia="Times New Roman" w:hAnsi="Times New Roman"/>
                <w:lang w:val="en-US"/>
              </w:rPr>
              <w:t>Cilat janë afatet e pritshme për hapjen dhe vënien në funksion të plotë të saj?</w:t>
            </w:r>
          </w:p>
          <w:p w:rsidR="00544DEA" w:rsidRDefault="00544DEA" w:rsidP="00544DEA">
            <w:pPr>
              <w:rPr>
                <w:rFonts w:ascii="Times New Roman" w:hAnsi="Times New Roman"/>
                <w:b/>
                <w:bCs/>
                <w:lang w:val="en-US"/>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r>
      <w:tr w:rsidR="00544DEA"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4.</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05.05.</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57495" w:rsidRPr="00702CB2" w:rsidRDefault="00657495" w:rsidP="00657495">
            <w:pPr>
              <w:pStyle w:val="ListParagraph"/>
              <w:numPr>
                <w:ilvl w:val="0"/>
                <w:numId w:val="7"/>
              </w:numPr>
              <w:spacing w:after="0" w:line="360" w:lineRule="auto"/>
              <w:ind w:right="57"/>
              <w:rPr>
                <w:rFonts w:ascii="Times New Roman" w:hAnsi="Times New Roman" w:cs="Times New Roman"/>
                <w:sz w:val="24"/>
                <w:szCs w:val="24"/>
              </w:rPr>
            </w:pPr>
            <w:r w:rsidRPr="00702CB2">
              <w:rPr>
                <w:rFonts w:ascii="Times New Roman" w:hAnsi="Times New Roman" w:cs="Times New Roman"/>
                <w:sz w:val="24"/>
                <w:szCs w:val="24"/>
              </w:rPr>
              <w:t>Listën e plotë me lejet e ndërtimit të akorduara në vitin 2024 dhe emrat e subjekteve përkatëse.</w:t>
            </w:r>
          </w:p>
          <w:p w:rsidR="00657495" w:rsidRPr="00702CB2" w:rsidRDefault="00657495" w:rsidP="00657495">
            <w:pPr>
              <w:pStyle w:val="ListParagraph"/>
              <w:numPr>
                <w:ilvl w:val="0"/>
                <w:numId w:val="7"/>
              </w:numPr>
              <w:spacing w:after="0" w:line="360" w:lineRule="auto"/>
              <w:ind w:right="57"/>
              <w:rPr>
                <w:rFonts w:ascii="Times New Roman" w:hAnsi="Times New Roman" w:cs="Times New Roman"/>
                <w:sz w:val="24"/>
                <w:szCs w:val="24"/>
              </w:rPr>
            </w:pPr>
            <w:r w:rsidRPr="00702CB2">
              <w:rPr>
                <w:rFonts w:ascii="Times New Roman" w:hAnsi="Times New Roman" w:cs="Times New Roman"/>
                <w:sz w:val="24"/>
                <w:szCs w:val="24"/>
              </w:rPr>
              <w:t xml:space="preserve">Listën e plotë me lejet e ndërtimit të akorduara për periudhën 1 janar 2025 – 30 </w:t>
            </w:r>
            <w:r w:rsidRPr="00702CB2">
              <w:rPr>
                <w:rFonts w:ascii="Times New Roman" w:hAnsi="Times New Roman" w:cs="Times New Roman"/>
                <w:sz w:val="24"/>
                <w:szCs w:val="24"/>
              </w:rPr>
              <w:lastRenderedPageBreak/>
              <w:t>prill 2025 dhe emrat e subjekteve përkatëse.</w:t>
            </w:r>
          </w:p>
          <w:p w:rsidR="00657495" w:rsidRPr="00702CB2" w:rsidRDefault="00657495" w:rsidP="00657495">
            <w:pPr>
              <w:pStyle w:val="ListParagraph"/>
              <w:numPr>
                <w:ilvl w:val="0"/>
                <w:numId w:val="7"/>
              </w:numPr>
              <w:spacing w:after="0" w:line="360" w:lineRule="auto"/>
              <w:ind w:right="57"/>
              <w:rPr>
                <w:rFonts w:ascii="Times New Roman" w:hAnsi="Times New Roman" w:cs="Times New Roman"/>
                <w:sz w:val="24"/>
                <w:szCs w:val="24"/>
              </w:rPr>
            </w:pPr>
            <w:r w:rsidRPr="00702CB2">
              <w:rPr>
                <w:rFonts w:ascii="Times New Roman" w:hAnsi="Times New Roman" w:cs="Times New Roman"/>
                <w:sz w:val="24"/>
                <w:szCs w:val="24"/>
              </w:rPr>
              <w:t>Listën e plotë me lejet e zhvillimit të akorduara për për periudhën 1 janar 2025 – 30 prill 2025 dhe emrat e subjekteve përkatëse.</w:t>
            </w:r>
          </w:p>
          <w:p w:rsidR="00544DEA" w:rsidRDefault="00544DEA" w:rsidP="00544DEA">
            <w:pPr>
              <w:spacing w:before="100" w:beforeAutospacing="1" w:after="100" w:afterAutospacing="1" w:line="240" w:lineRule="auto"/>
              <w:ind w:left="720"/>
              <w:rPr>
                <w:rFonts w:ascii="Times New Roman" w:eastAsia="Times New Roman" w:hAnsi="Times New Roman"/>
                <w:lang w:val="en-US"/>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251AB6"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05.06.</w:t>
            </w: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251AB6"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Dhëni</w:t>
            </w:r>
            <w:bookmarkStart w:id="0" w:name="_GoBack"/>
            <w:bookmarkEnd w:id="0"/>
            <w:r>
              <w:rPr>
                <w:rFonts w:ascii="Times New Roman" w:eastAsia="Times New Roman" w:hAnsi="Times New Roman" w:cs="Times New Roman"/>
                <w:color w:val="000000"/>
                <w:sz w:val="20"/>
                <w:szCs w:val="20"/>
                <w:lang w:val="sq-AL" w:eastAsia="sq-AL"/>
              </w:rPr>
              <w:t xml:space="preserve">e informacioni ne formë shkresore </w:t>
            </w: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44DEA" w:rsidRPr="0073513C" w:rsidRDefault="00251AB6"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E plotë</w:t>
            </w: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44DEA" w:rsidRPr="0073513C" w:rsidRDefault="00251AB6"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Nuk ka </w:t>
            </w:r>
          </w:p>
        </w:tc>
      </w:tr>
    </w:tbl>
    <w:p w:rsidR="00724997" w:rsidRDefault="00724997"/>
    <w:sectPr w:rsidR="00724997" w:rsidSect="00E445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8EA" w:rsidRDefault="005908EA" w:rsidP="00B16EE5">
      <w:pPr>
        <w:spacing w:after="0" w:line="240" w:lineRule="auto"/>
      </w:pPr>
      <w:r>
        <w:separator/>
      </w:r>
    </w:p>
  </w:endnote>
  <w:endnote w:type="continuationSeparator" w:id="0">
    <w:p w:rsidR="005908EA" w:rsidRDefault="005908EA" w:rsidP="00B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8EA" w:rsidRDefault="005908EA" w:rsidP="00B16EE5">
      <w:pPr>
        <w:spacing w:after="0" w:line="240" w:lineRule="auto"/>
      </w:pPr>
      <w:r>
        <w:separator/>
      </w:r>
    </w:p>
  </w:footnote>
  <w:footnote w:type="continuationSeparator" w:id="0">
    <w:p w:rsidR="005908EA" w:rsidRDefault="005908EA" w:rsidP="00B1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765"/>
    <w:multiLevelType w:val="multilevel"/>
    <w:tmpl w:val="41C80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203F9"/>
    <w:multiLevelType w:val="hybridMultilevel"/>
    <w:tmpl w:val="191C88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6CD1715"/>
    <w:multiLevelType w:val="multilevel"/>
    <w:tmpl w:val="577E1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25A0A"/>
    <w:multiLevelType w:val="hybridMultilevel"/>
    <w:tmpl w:val="5316E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202ED"/>
    <w:multiLevelType w:val="multilevel"/>
    <w:tmpl w:val="CA828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0B3008C"/>
    <w:multiLevelType w:val="hybridMultilevel"/>
    <w:tmpl w:val="45949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720D1F70"/>
    <w:multiLevelType w:val="multilevel"/>
    <w:tmpl w:val="7A94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28"/>
    <w:rsid w:val="000F1708"/>
    <w:rsid w:val="001F0F12"/>
    <w:rsid w:val="00251AB6"/>
    <w:rsid w:val="00290C00"/>
    <w:rsid w:val="002F60B5"/>
    <w:rsid w:val="003643E8"/>
    <w:rsid w:val="003C478E"/>
    <w:rsid w:val="0046041B"/>
    <w:rsid w:val="004833B4"/>
    <w:rsid w:val="004A2694"/>
    <w:rsid w:val="004F7022"/>
    <w:rsid w:val="00544DEA"/>
    <w:rsid w:val="005908EA"/>
    <w:rsid w:val="005A4D3E"/>
    <w:rsid w:val="005D1EE0"/>
    <w:rsid w:val="005E36CD"/>
    <w:rsid w:val="006416AD"/>
    <w:rsid w:val="00657495"/>
    <w:rsid w:val="00691294"/>
    <w:rsid w:val="00692594"/>
    <w:rsid w:val="006B0E31"/>
    <w:rsid w:val="006C6516"/>
    <w:rsid w:val="006D787A"/>
    <w:rsid w:val="00702CB2"/>
    <w:rsid w:val="00724997"/>
    <w:rsid w:val="007F1B81"/>
    <w:rsid w:val="00886928"/>
    <w:rsid w:val="008C26A4"/>
    <w:rsid w:val="0090330D"/>
    <w:rsid w:val="009D4089"/>
    <w:rsid w:val="009E3E68"/>
    <w:rsid w:val="00A000EE"/>
    <w:rsid w:val="00A23503"/>
    <w:rsid w:val="00A445F2"/>
    <w:rsid w:val="00AD21E6"/>
    <w:rsid w:val="00AE01C3"/>
    <w:rsid w:val="00B16EE5"/>
    <w:rsid w:val="00B41C2D"/>
    <w:rsid w:val="00B87A67"/>
    <w:rsid w:val="00C102E8"/>
    <w:rsid w:val="00DC7716"/>
    <w:rsid w:val="00E347B4"/>
    <w:rsid w:val="00E44528"/>
    <w:rsid w:val="00F6324B"/>
    <w:rsid w:val="00FC30BF"/>
    <w:rsid w:val="00FF6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07E5"/>
  <w15:chartTrackingRefBased/>
  <w15:docId w15:val="{34E09594-4C5D-4798-9585-24ACE8A7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4452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2">
    <w:name w:val="p2"/>
    <w:basedOn w:val="Normal"/>
    <w:rsid w:val="00E4452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
    <w:name w:val="s2"/>
    <w:basedOn w:val="DefaultParagraphFont"/>
    <w:rsid w:val="00E44528"/>
  </w:style>
  <w:style w:type="paragraph" w:styleId="NormalWeb">
    <w:name w:val="Normal (Web)"/>
    <w:basedOn w:val="Normal"/>
    <w:uiPriority w:val="99"/>
    <w:unhideWhenUsed/>
    <w:rsid w:val="00E44528"/>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691294"/>
    <w:rPr>
      <w:color w:val="0563C1"/>
      <w:u w:val="single"/>
    </w:rPr>
  </w:style>
  <w:style w:type="paragraph" w:styleId="ListParagraph">
    <w:name w:val="List Paragraph"/>
    <w:basedOn w:val="Normal"/>
    <w:uiPriority w:val="34"/>
    <w:qFormat/>
    <w:rsid w:val="00691294"/>
    <w:pPr>
      <w:spacing w:line="252" w:lineRule="auto"/>
      <w:ind w:left="720"/>
      <w:contextualSpacing/>
    </w:pPr>
    <w:rPr>
      <w:rFonts w:ascii="Calibri" w:hAnsi="Calibri" w:cs="Calibri"/>
    </w:rPr>
  </w:style>
  <w:style w:type="paragraph" w:styleId="Header">
    <w:name w:val="header"/>
    <w:basedOn w:val="Normal"/>
    <w:link w:val="HeaderChar"/>
    <w:uiPriority w:val="99"/>
    <w:unhideWhenUsed/>
    <w:rsid w:val="00B1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EE5"/>
  </w:style>
  <w:style w:type="paragraph" w:styleId="Footer">
    <w:name w:val="footer"/>
    <w:basedOn w:val="Normal"/>
    <w:link w:val="FooterChar"/>
    <w:uiPriority w:val="99"/>
    <w:unhideWhenUsed/>
    <w:rsid w:val="00B1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534">
      <w:bodyDiv w:val="1"/>
      <w:marLeft w:val="0"/>
      <w:marRight w:val="0"/>
      <w:marTop w:val="0"/>
      <w:marBottom w:val="0"/>
      <w:divBdr>
        <w:top w:val="none" w:sz="0" w:space="0" w:color="auto"/>
        <w:left w:val="none" w:sz="0" w:space="0" w:color="auto"/>
        <w:bottom w:val="none" w:sz="0" w:space="0" w:color="auto"/>
        <w:right w:val="none" w:sz="0" w:space="0" w:color="auto"/>
      </w:divBdr>
    </w:div>
    <w:div w:id="21370564">
      <w:bodyDiv w:val="1"/>
      <w:marLeft w:val="0"/>
      <w:marRight w:val="0"/>
      <w:marTop w:val="0"/>
      <w:marBottom w:val="0"/>
      <w:divBdr>
        <w:top w:val="none" w:sz="0" w:space="0" w:color="auto"/>
        <w:left w:val="none" w:sz="0" w:space="0" w:color="auto"/>
        <w:bottom w:val="none" w:sz="0" w:space="0" w:color="auto"/>
        <w:right w:val="none" w:sz="0" w:space="0" w:color="auto"/>
      </w:divBdr>
    </w:div>
    <w:div w:id="212666396">
      <w:bodyDiv w:val="1"/>
      <w:marLeft w:val="0"/>
      <w:marRight w:val="0"/>
      <w:marTop w:val="0"/>
      <w:marBottom w:val="0"/>
      <w:divBdr>
        <w:top w:val="none" w:sz="0" w:space="0" w:color="auto"/>
        <w:left w:val="none" w:sz="0" w:space="0" w:color="auto"/>
        <w:bottom w:val="none" w:sz="0" w:space="0" w:color="auto"/>
        <w:right w:val="none" w:sz="0" w:space="0" w:color="auto"/>
      </w:divBdr>
    </w:div>
    <w:div w:id="223298205">
      <w:bodyDiv w:val="1"/>
      <w:marLeft w:val="0"/>
      <w:marRight w:val="0"/>
      <w:marTop w:val="0"/>
      <w:marBottom w:val="0"/>
      <w:divBdr>
        <w:top w:val="none" w:sz="0" w:space="0" w:color="auto"/>
        <w:left w:val="none" w:sz="0" w:space="0" w:color="auto"/>
        <w:bottom w:val="none" w:sz="0" w:space="0" w:color="auto"/>
        <w:right w:val="none" w:sz="0" w:space="0" w:color="auto"/>
      </w:divBdr>
    </w:div>
    <w:div w:id="476797780">
      <w:bodyDiv w:val="1"/>
      <w:marLeft w:val="0"/>
      <w:marRight w:val="0"/>
      <w:marTop w:val="0"/>
      <w:marBottom w:val="0"/>
      <w:divBdr>
        <w:top w:val="none" w:sz="0" w:space="0" w:color="auto"/>
        <w:left w:val="none" w:sz="0" w:space="0" w:color="auto"/>
        <w:bottom w:val="none" w:sz="0" w:space="0" w:color="auto"/>
        <w:right w:val="none" w:sz="0" w:space="0" w:color="auto"/>
      </w:divBdr>
    </w:div>
    <w:div w:id="701322673">
      <w:bodyDiv w:val="1"/>
      <w:marLeft w:val="0"/>
      <w:marRight w:val="0"/>
      <w:marTop w:val="0"/>
      <w:marBottom w:val="0"/>
      <w:divBdr>
        <w:top w:val="none" w:sz="0" w:space="0" w:color="auto"/>
        <w:left w:val="none" w:sz="0" w:space="0" w:color="auto"/>
        <w:bottom w:val="none" w:sz="0" w:space="0" w:color="auto"/>
        <w:right w:val="none" w:sz="0" w:space="0" w:color="auto"/>
      </w:divBdr>
    </w:div>
    <w:div w:id="781532953">
      <w:bodyDiv w:val="1"/>
      <w:marLeft w:val="0"/>
      <w:marRight w:val="0"/>
      <w:marTop w:val="0"/>
      <w:marBottom w:val="0"/>
      <w:divBdr>
        <w:top w:val="none" w:sz="0" w:space="0" w:color="auto"/>
        <w:left w:val="none" w:sz="0" w:space="0" w:color="auto"/>
        <w:bottom w:val="none" w:sz="0" w:space="0" w:color="auto"/>
        <w:right w:val="none" w:sz="0" w:space="0" w:color="auto"/>
      </w:divBdr>
    </w:div>
    <w:div w:id="891768054">
      <w:bodyDiv w:val="1"/>
      <w:marLeft w:val="0"/>
      <w:marRight w:val="0"/>
      <w:marTop w:val="0"/>
      <w:marBottom w:val="0"/>
      <w:divBdr>
        <w:top w:val="none" w:sz="0" w:space="0" w:color="auto"/>
        <w:left w:val="none" w:sz="0" w:space="0" w:color="auto"/>
        <w:bottom w:val="none" w:sz="0" w:space="0" w:color="auto"/>
        <w:right w:val="none" w:sz="0" w:space="0" w:color="auto"/>
      </w:divBdr>
    </w:div>
    <w:div w:id="944120069">
      <w:bodyDiv w:val="1"/>
      <w:marLeft w:val="0"/>
      <w:marRight w:val="0"/>
      <w:marTop w:val="0"/>
      <w:marBottom w:val="0"/>
      <w:divBdr>
        <w:top w:val="none" w:sz="0" w:space="0" w:color="auto"/>
        <w:left w:val="none" w:sz="0" w:space="0" w:color="auto"/>
        <w:bottom w:val="none" w:sz="0" w:space="0" w:color="auto"/>
        <w:right w:val="none" w:sz="0" w:space="0" w:color="auto"/>
      </w:divBdr>
    </w:div>
    <w:div w:id="994845006">
      <w:bodyDiv w:val="1"/>
      <w:marLeft w:val="0"/>
      <w:marRight w:val="0"/>
      <w:marTop w:val="0"/>
      <w:marBottom w:val="0"/>
      <w:divBdr>
        <w:top w:val="none" w:sz="0" w:space="0" w:color="auto"/>
        <w:left w:val="none" w:sz="0" w:space="0" w:color="auto"/>
        <w:bottom w:val="none" w:sz="0" w:space="0" w:color="auto"/>
        <w:right w:val="none" w:sz="0" w:space="0" w:color="auto"/>
      </w:divBdr>
    </w:div>
    <w:div w:id="1239749107">
      <w:bodyDiv w:val="1"/>
      <w:marLeft w:val="0"/>
      <w:marRight w:val="0"/>
      <w:marTop w:val="0"/>
      <w:marBottom w:val="0"/>
      <w:divBdr>
        <w:top w:val="none" w:sz="0" w:space="0" w:color="auto"/>
        <w:left w:val="none" w:sz="0" w:space="0" w:color="auto"/>
        <w:bottom w:val="none" w:sz="0" w:space="0" w:color="auto"/>
        <w:right w:val="none" w:sz="0" w:space="0" w:color="auto"/>
      </w:divBdr>
    </w:div>
    <w:div w:id="1367949516">
      <w:bodyDiv w:val="1"/>
      <w:marLeft w:val="0"/>
      <w:marRight w:val="0"/>
      <w:marTop w:val="0"/>
      <w:marBottom w:val="0"/>
      <w:divBdr>
        <w:top w:val="none" w:sz="0" w:space="0" w:color="auto"/>
        <w:left w:val="none" w:sz="0" w:space="0" w:color="auto"/>
        <w:bottom w:val="none" w:sz="0" w:space="0" w:color="auto"/>
        <w:right w:val="none" w:sz="0" w:space="0" w:color="auto"/>
      </w:divBdr>
    </w:div>
    <w:div w:id="1543864285">
      <w:bodyDiv w:val="1"/>
      <w:marLeft w:val="0"/>
      <w:marRight w:val="0"/>
      <w:marTop w:val="0"/>
      <w:marBottom w:val="0"/>
      <w:divBdr>
        <w:top w:val="none" w:sz="0" w:space="0" w:color="auto"/>
        <w:left w:val="none" w:sz="0" w:space="0" w:color="auto"/>
        <w:bottom w:val="none" w:sz="0" w:space="0" w:color="auto"/>
        <w:right w:val="none" w:sz="0" w:space="0" w:color="auto"/>
      </w:divBdr>
    </w:div>
    <w:div w:id="1716931611">
      <w:bodyDiv w:val="1"/>
      <w:marLeft w:val="0"/>
      <w:marRight w:val="0"/>
      <w:marTop w:val="0"/>
      <w:marBottom w:val="0"/>
      <w:divBdr>
        <w:top w:val="none" w:sz="0" w:space="0" w:color="auto"/>
        <w:left w:val="none" w:sz="0" w:space="0" w:color="auto"/>
        <w:bottom w:val="none" w:sz="0" w:space="0" w:color="auto"/>
        <w:right w:val="none" w:sz="0" w:space="0" w:color="auto"/>
      </w:divBdr>
    </w:div>
    <w:div w:id="19617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6</cp:revision>
  <dcterms:created xsi:type="dcterms:W3CDTF">2025-05-30T12:08:00Z</dcterms:created>
  <dcterms:modified xsi:type="dcterms:W3CDTF">2025-06-18T08:04:00Z</dcterms:modified>
</cp:coreProperties>
</file>