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D7D8" w14:textId="77777777" w:rsidR="00DF3DB7" w:rsidRPr="0036136C" w:rsidRDefault="00DF3DB7" w:rsidP="00DF3DB7">
      <w:pPr>
        <w:jc w:val="center"/>
        <w:rPr>
          <w:b/>
          <w:smallCaps/>
          <w:sz w:val="28"/>
          <w:szCs w:val="28"/>
        </w:rPr>
      </w:pPr>
      <w:r w:rsidRPr="0036136C">
        <w:rPr>
          <w:b/>
          <w:smallCaps/>
          <w:sz w:val="28"/>
          <w:szCs w:val="28"/>
        </w:rPr>
        <w:t>DRAFT KONTRATË</w:t>
      </w:r>
    </w:p>
    <w:p w14:paraId="118F4C6B" w14:textId="77777777" w:rsidR="00DF3DB7" w:rsidRPr="0036136C" w:rsidRDefault="009642E7" w:rsidP="0036136C">
      <w:pPr>
        <w:spacing w:before="360"/>
        <w:jc w:val="center"/>
        <w:rPr>
          <w:b/>
          <w:smallCaps/>
          <w:szCs w:val="24"/>
        </w:rPr>
      </w:pPr>
      <w:r w:rsidRPr="0036136C">
        <w:rPr>
          <w:b/>
          <w:smallCaps/>
          <w:szCs w:val="24"/>
        </w:rPr>
        <w:t>KONTRATË SHËRBIMI PËR VEPRIMET E JASHTME TË BASHKIMIT EVROPIAN</w:t>
      </w:r>
    </w:p>
    <w:p w14:paraId="41735B45" w14:textId="32A3FF87" w:rsidR="00E75AAC" w:rsidRPr="00D83117" w:rsidRDefault="00E75AAC">
      <w:pPr>
        <w:jc w:val="center"/>
        <w:rPr>
          <w:b/>
          <w:smallCaps/>
          <w:sz w:val="32"/>
          <w:szCs w:val="28"/>
        </w:rPr>
      </w:pPr>
      <w:r w:rsidRPr="00D83117">
        <w:rPr>
          <w:b/>
          <w:smallCaps/>
          <w:sz w:val="32"/>
          <w:szCs w:val="28"/>
        </w:rPr>
        <w:t>Jo</w:t>
      </w:r>
      <w:r w:rsidRPr="00D83117">
        <w:rPr>
          <w:b/>
          <w:smallCaps/>
          <w:sz w:val="32"/>
          <w:szCs w:val="28"/>
          <w:vertAlign w:val="superscript"/>
        </w:rPr>
        <w:t>​</w:t>
      </w:r>
      <w:r w:rsidRPr="00D83117">
        <w:rPr>
          <w:b/>
          <w:smallCaps/>
          <w:sz w:val="32"/>
          <w:szCs w:val="28"/>
        </w:rPr>
        <w:t xml:space="preserve"> </w:t>
      </w:r>
      <w:r w:rsidR="00D83117" w:rsidRPr="00D83117">
        <w:rPr>
          <w:b/>
          <w:sz w:val="28"/>
          <w:szCs w:val="24"/>
        </w:rPr>
        <w:t>SA-0300384 / SPICE</w:t>
      </w:r>
    </w:p>
    <w:p w14:paraId="01813AF7" w14:textId="742F4000" w:rsidR="00556095" w:rsidRPr="0036136C" w:rsidRDefault="00556095">
      <w:pPr>
        <w:jc w:val="center"/>
        <w:rPr>
          <w:b/>
          <w:sz w:val="28"/>
          <w:szCs w:val="28"/>
        </w:rPr>
      </w:pPr>
      <w:r w:rsidRPr="0036136C">
        <w:rPr>
          <w:b/>
          <w:smallCaps/>
          <w:sz w:val="28"/>
          <w:szCs w:val="28"/>
        </w:rPr>
        <w:t>financuar nga [buxheti i përgjithshëm i Bashkimit]</w:t>
      </w:r>
    </w:p>
    <w:p w14:paraId="13DF3B2E" w14:textId="77777777" w:rsidR="00D83117" w:rsidRDefault="00D83117" w:rsidP="006F4931">
      <w:pPr>
        <w:spacing w:after="0"/>
        <w:rPr>
          <w:i/>
          <w:sz w:val="22"/>
          <w:szCs w:val="22"/>
        </w:rPr>
      </w:pPr>
      <w:r w:rsidRPr="00D83117">
        <w:rPr>
          <w:sz w:val="22"/>
          <w:szCs w:val="22"/>
        </w:rPr>
        <w:t xml:space="preserve">Për menaxhim indirekt </w:t>
      </w:r>
      <w:r w:rsidR="009642E7" w:rsidRPr="00D83117">
        <w:rPr>
          <w:i/>
          <w:sz w:val="22"/>
          <w:szCs w:val="22"/>
        </w:rPr>
        <w:t>:</w:t>
      </w:r>
    </w:p>
    <w:p w14:paraId="386EB540" w14:textId="0C0E18EF" w:rsidR="006F4931" w:rsidRDefault="00D83117" w:rsidP="006F4931">
      <w:pPr>
        <w:spacing w:after="0"/>
        <w:rPr>
          <w:sz w:val="22"/>
          <w:szCs w:val="22"/>
        </w:rPr>
      </w:pPr>
      <w:r>
        <w:rPr>
          <w:sz w:val="22"/>
          <w:szCs w:val="22"/>
        </w:rPr>
        <w:t xml:space="preserve"> </w:t>
      </w:r>
    </w:p>
    <w:p w14:paraId="2EAC3DBE" w14:textId="77777777" w:rsidR="00D83117" w:rsidRDefault="00D83117" w:rsidP="00D83117">
      <w:pPr>
        <w:tabs>
          <w:tab w:val="left" w:pos="-1440"/>
          <w:tab w:val="left" w:pos="-720"/>
          <w:tab w:val="left" w:pos="828"/>
          <w:tab w:val="left" w:pos="1044"/>
          <w:tab w:val="left" w:pos="1260"/>
          <w:tab w:val="left" w:pos="1476"/>
          <w:tab w:val="left" w:pos="1692"/>
          <w:tab w:val="left" w:pos="2160"/>
        </w:tabs>
        <w:spacing w:after="120"/>
        <w:jc w:val="left"/>
        <w:rPr>
          <w:sz w:val="22"/>
          <w:szCs w:val="22"/>
        </w:rPr>
      </w:pPr>
      <w:r>
        <w:rPr>
          <w:sz w:val="22"/>
          <w:szCs w:val="22"/>
        </w:rPr>
        <w:t>Bashkia e Vlorës</w:t>
      </w:r>
    </w:p>
    <w:p w14:paraId="20C96922" w14:textId="77777777" w:rsidR="00D83117" w:rsidRDefault="00D83117" w:rsidP="00D83117">
      <w:pPr>
        <w:tabs>
          <w:tab w:val="left" w:pos="-1440"/>
          <w:tab w:val="left" w:pos="-720"/>
          <w:tab w:val="left" w:pos="828"/>
          <w:tab w:val="left" w:pos="1044"/>
          <w:tab w:val="left" w:pos="1260"/>
          <w:tab w:val="left" w:pos="1476"/>
          <w:tab w:val="left" w:pos="1692"/>
          <w:tab w:val="left" w:pos="2160"/>
        </w:tabs>
        <w:spacing w:after="120"/>
        <w:jc w:val="left"/>
        <w:rPr>
          <w:sz w:val="22"/>
          <w:szCs w:val="22"/>
        </w:rPr>
      </w:pPr>
      <w:r>
        <w:rPr>
          <w:sz w:val="22"/>
          <w:szCs w:val="22"/>
        </w:rPr>
        <w:t>Sheshi “4 Heronjtë ”</w:t>
      </w:r>
    </w:p>
    <w:p w14:paraId="1EC61617" w14:textId="69D2FF49" w:rsidR="00D83117" w:rsidRPr="0036136C" w:rsidRDefault="00D83117" w:rsidP="00D83117">
      <w:pPr>
        <w:spacing w:after="0"/>
        <w:rPr>
          <w:sz w:val="22"/>
          <w:szCs w:val="22"/>
        </w:rPr>
      </w:pPr>
      <w:r>
        <w:rPr>
          <w:sz w:val="22"/>
          <w:szCs w:val="22"/>
        </w:rPr>
        <w:t>9401, Vlorë, Shqipëri</w:t>
      </w:r>
    </w:p>
    <w:p w14:paraId="0A2C1937" w14:textId="77777777" w:rsidR="00DF3DB7" w:rsidRPr="0036136C" w:rsidRDefault="00DF3DB7">
      <w:pPr>
        <w:spacing w:after="120"/>
        <w:rPr>
          <w:sz w:val="22"/>
          <w:szCs w:val="22"/>
        </w:rPr>
      </w:pPr>
    </w:p>
    <w:p w14:paraId="58D018F6" w14:textId="77777777" w:rsidR="009642E7" w:rsidRPr="0036136C" w:rsidRDefault="009642E7">
      <w:pPr>
        <w:spacing w:after="120"/>
        <w:rPr>
          <w:sz w:val="22"/>
          <w:szCs w:val="22"/>
        </w:rPr>
      </w:pPr>
      <w:r w:rsidRPr="0036136C">
        <w:rPr>
          <w:sz w:val="22"/>
          <w:szCs w:val="22"/>
        </w:rPr>
        <w:t>('autoriteti kontraktues'),</w:t>
      </w:r>
    </w:p>
    <w:p w14:paraId="425A883C" w14:textId="77777777" w:rsidR="00661D04" w:rsidRPr="0036136C" w:rsidRDefault="009642E7" w:rsidP="00AA56AE">
      <w:pPr>
        <w:spacing w:after="120"/>
        <w:jc w:val="right"/>
        <w:rPr>
          <w:sz w:val="22"/>
          <w:szCs w:val="22"/>
        </w:rPr>
      </w:pPr>
      <w:r w:rsidRPr="0036136C">
        <w:rPr>
          <w:sz w:val="22"/>
          <w:szCs w:val="22"/>
        </w:rPr>
        <w:t>nga njëra pjesë,</w:t>
      </w:r>
    </w:p>
    <w:p w14:paraId="26292ABC" w14:textId="77777777" w:rsidR="009642E7" w:rsidRPr="0036136C" w:rsidRDefault="009642E7">
      <w:pPr>
        <w:spacing w:after="120"/>
        <w:rPr>
          <w:sz w:val="22"/>
          <w:szCs w:val="22"/>
        </w:rPr>
      </w:pPr>
      <w:r w:rsidRPr="0036136C">
        <w:rPr>
          <w:sz w:val="22"/>
          <w:szCs w:val="22"/>
        </w:rPr>
        <w:t>dhe</w:t>
      </w:r>
    </w:p>
    <w:p w14:paraId="145925F9" w14:textId="77777777" w:rsidR="00EA24C0" w:rsidRPr="003B00B1" w:rsidRDefault="009642E7" w:rsidP="00AA56AE">
      <w:pPr>
        <w:spacing w:after="0"/>
        <w:rPr>
          <w:sz w:val="22"/>
          <w:szCs w:val="22"/>
        </w:rPr>
      </w:pPr>
      <w:r w:rsidRPr="003B00B1">
        <w:rPr>
          <w:sz w:val="22"/>
          <w:szCs w:val="22"/>
        </w:rPr>
        <w:t>&lt;Zyrtar i plotë</w:t>
      </w:r>
      <w:r w:rsidR="00EA24C0" w:rsidRPr="003B00B1">
        <w:rPr>
          <w:color w:val="00FF00"/>
          <w:sz w:val="22"/>
          <w:szCs w:val="22"/>
        </w:rPr>
        <w:t xml:space="preserve"> </w:t>
      </w:r>
      <w:r w:rsidR="001D1A9D" w:rsidRPr="003B00B1">
        <w:rPr>
          <w:sz w:val="22"/>
          <w:szCs w:val="22"/>
        </w:rPr>
        <w:t>emri i kontraktorit&gt;</w:t>
      </w:r>
    </w:p>
    <w:p w14:paraId="3B12735C" w14:textId="77777777" w:rsidR="00EA24C0" w:rsidRPr="003B00B1" w:rsidRDefault="00A246DB" w:rsidP="00EA24C0">
      <w:pPr>
        <w:spacing w:after="0"/>
        <w:rPr>
          <w:sz w:val="22"/>
          <w:szCs w:val="22"/>
        </w:rPr>
      </w:pPr>
      <w:r w:rsidRPr="003B00B1">
        <w:rPr>
          <w:sz w:val="22"/>
          <w:szCs w:val="22"/>
        </w:rPr>
        <w:t>[&lt;Statusi/titulli ligjor&gt;]</w:t>
      </w:r>
      <w:r w:rsidR="00EA24C0" w:rsidRPr="003B00B1">
        <w:rPr>
          <w:rStyle w:val="FootnoteReference"/>
          <w:rFonts w:ascii="Times New Roman" w:hAnsi="Times New Roman"/>
        </w:rPr>
        <w:footnoteReference w:id="1"/>
      </w:r>
    </w:p>
    <w:p w14:paraId="4DE06936" w14:textId="77777777" w:rsidR="00EA24C0" w:rsidRPr="003B00B1" w:rsidRDefault="00A246DB" w:rsidP="00EA24C0">
      <w:pPr>
        <w:spacing w:after="0"/>
        <w:rPr>
          <w:sz w:val="22"/>
          <w:szCs w:val="22"/>
        </w:rPr>
      </w:pPr>
      <w:r w:rsidRPr="003B00B1">
        <w:rPr>
          <w:sz w:val="22"/>
          <w:szCs w:val="22"/>
        </w:rPr>
        <w:t>[&lt;Numri zyrtar i regjistrimit&gt;]</w:t>
      </w:r>
      <w:r w:rsidR="00EA24C0" w:rsidRPr="003B00B1">
        <w:rPr>
          <w:rStyle w:val="FootnoteReference"/>
          <w:rFonts w:ascii="Times New Roman" w:hAnsi="Times New Roman"/>
        </w:rPr>
        <w:footnoteReference w:id="2"/>
      </w:r>
    </w:p>
    <w:p w14:paraId="35311FD3" w14:textId="77777777" w:rsidR="00EA24C0" w:rsidRPr="003B00B1" w:rsidRDefault="00E21725" w:rsidP="00EA24C0">
      <w:pPr>
        <w:spacing w:after="0"/>
        <w:rPr>
          <w:sz w:val="22"/>
          <w:szCs w:val="22"/>
        </w:rPr>
      </w:pPr>
      <w:r w:rsidRPr="003B00B1">
        <w:rPr>
          <w:sz w:val="22"/>
          <w:szCs w:val="22"/>
        </w:rPr>
        <w:t>&lt;Adresa e plotë zyrtare&gt;</w:t>
      </w:r>
    </w:p>
    <w:p w14:paraId="389EA803" w14:textId="77777777" w:rsidR="000751CA" w:rsidRDefault="00A246DB" w:rsidP="00EA24C0">
      <w:pPr>
        <w:spacing w:after="0"/>
        <w:rPr>
          <w:sz w:val="22"/>
          <w:szCs w:val="22"/>
        </w:rPr>
      </w:pPr>
      <w:r w:rsidRPr="003B00B1">
        <w:rPr>
          <w:sz w:val="22"/>
          <w:szCs w:val="22"/>
        </w:rPr>
        <w:t>[&lt;numri i TVSH-së&gt;],</w:t>
      </w:r>
      <w:r w:rsidR="00EA24C0" w:rsidRPr="003B00B1">
        <w:rPr>
          <w:rStyle w:val="FootnoteReference"/>
          <w:rFonts w:ascii="Times New Roman" w:hAnsi="Times New Roman"/>
        </w:rPr>
        <w:footnoteReference w:id="3"/>
      </w:r>
      <w:r w:rsidR="00DB3187" w:rsidRPr="0036136C">
        <w:rPr>
          <w:sz w:val="22"/>
          <w:szCs w:val="22"/>
        </w:rPr>
        <w:t xml:space="preserve"> </w:t>
      </w:r>
    </w:p>
    <w:p w14:paraId="39A04412" w14:textId="77777777" w:rsidR="000751CA" w:rsidRDefault="000751CA" w:rsidP="00EA24C0">
      <w:pPr>
        <w:spacing w:after="0"/>
        <w:rPr>
          <w:sz w:val="22"/>
          <w:szCs w:val="22"/>
        </w:rPr>
      </w:pPr>
    </w:p>
    <w:p w14:paraId="54603D3B" w14:textId="77777777" w:rsidR="009642E7" w:rsidRPr="0036136C" w:rsidRDefault="00DB3187" w:rsidP="00EA24C0">
      <w:pPr>
        <w:spacing w:after="0"/>
        <w:rPr>
          <w:sz w:val="22"/>
          <w:szCs w:val="22"/>
        </w:rPr>
      </w:pPr>
      <w:r w:rsidRPr="0036136C">
        <w:rPr>
          <w:sz w:val="22"/>
          <w:szCs w:val="22"/>
        </w:rPr>
        <w:t>('kontraktori')</w:t>
      </w:r>
    </w:p>
    <w:p w14:paraId="7A0BFBCC" w14:textId="1BF56D45" w:rsidR="00D83117" w:rsidRDefault="00D83117" w:rsidP="00D83117">
      <w:pPr>
        <w:tabs>
          <w:tab w:val="left" w:pos="-1440"/>
          <w:tab w:val="left" w:pos="-720"/>
          <w:tab w:val="left" w:pos="828"/>
          <w:tab w:val="left" w:pos="1044"/>
          <w:tab w:val="left" w:pos="1260"/>
          <w:tab w:val="left" w:pos="1476"/>
          <w:tab w:val="left" w:pos="1692"/>
          <w:tab w:val="left" w:pos="2160"/>
        </w:tabs>
        <w:spacing w:after="120"/>
        <w:jc w:val="left"/>
        <w:rPr>
          <w:sz w:val="22"/>
          <w:szCs w:val="22"/>
        </w:rPr>
      </w:pPr>
    </w:p>
    <w:p w14:paraId="316DBD78" w14:textId="77777777" w:rsidR="00D83117" w:rsidRPr="0036136C" w:rsidRDefault="00D83117" w:rsidP="00D83117">
      <w:pPr>
        <w:tabs>
          <w:tab w:val="left" w:pos="-1440"/>
          <w:tab w:val="left" w:pos="-720"/>
          <w:tab w:val="left" w:pos="828"/>
          <w:tab w:val="left" w:pos="1044"/>
          <w:tab w:val="left" w:pos="1260"/>
          <w:tab w:val="left" w:pos="1476"/>
          <w:tab w:val="left" w:pos="1692"/>
          <w:tab w:val="left" w:pos="2160"/>
        </w:tabs>
        <w:spacing w:after="120"/>
        <w:jc w:val="left"/>
        <w:rPr>
          <w:sz w:val="22"/>
          <w:szCs w:val="22"/>
        </w:rPr>
      </w:pPr>
    </w:p>
    <w:p w14:paraId="36741055" w14:textId="11C6112A" w:rsidR="00D83117" w:rsidRPr="0036136C" w:rsidRDefault="00D83117" w:rsidP="00D83117">
      <w:pPr>
        <w:tabs>
          <w:tab w:val="left" w:pos="-1440"/>
          <w:tab w:val="left" w:pos="-720"/>
          <w:tab w:val="left" w:pos="828"/>
          <w:tab w:val="left" w:pos="1044"/>
          <w:tab w:val="left" w:pos="1260"/>
          <w:tab w:val="left" w:pos="1476"/>
          <w:tab w:val="left" w:pos="1692"/>
          <w:tab w:val="left" w:pos="2160"/>
        </w:tabs>
        <w:spacing w:after="120"/>
        <w:jc w:val="left"/>
        <w:rPr>
          <w:sz w:val="22"/>
          <w:szCs w:val="22"/>
        </w:rPr>
      </w:pPr>
      <w:r>
        <w:rPr>
          <w:sz w:val="22"/>
          <w:szCs w:val="22"/>
        </w:rPr>
        <w:t>nga ana tjetër,</w:t>
      </w:r>
    </w:p>
    <w:p w14:paraId="4C37D51D" w14:textId="7A69096E" w:rsidR="00D83117" w:rsidRDefault="00D83117" w:rsidP="00D83117">
      <w:pPr>
        <w:tabs>
          <w:tab w:val="left" w:pos="-1440"/>
          <w:tab w:val="left" w:pos="-720"/>
          <w:tab w:val="left" w:pos="828"/>
          <w:tab w:val="left" w:pos="1044"/>
          <w:tab w:val="left" w:pos="1260"/>
          <w:tab w:val="left" w:pos="1476"/>
          <w:tab w:val="left" w:pos="1692"/>
          <w:tab w:val="left" w:pos="2160"/>
        </w:tabs>
        <w:spacing w:after="120"/>
        <w:jc w:val="left"/>
        <w:rPr>
          <w:sz w:val="22"/>
          <w:szCs w:val="22"/>
        </w:rPr>
      </w:pPr>
    </w:p>
    <w:p w14:paraId="7AC0569F" w14:textId="77777777" w:rsidR="009642E7" w:rsidRPr="0036136C" w:rsidRDefault="009642E7">
      <w:pPr>
        <w:spacing w:after="120"/>
        <w:rPr>
          <w:sz w:val="22"/>
          <w:szCs w:val="22"/>
        </w:rPr>
      </w:pPr>
      <w:r w:rsidRPr="0036136C">
        <w:rPr>
          <w:sz w:val="22"/>
          <w:szCs w:val="22"/>
        </w:rPr>
        <w:t>kanë rënë dakord si më poshtë vijon:</w:t>
      </w:r>
    </w:p>
    <w:p w14:paraId="3FC81CFB" w14:textId="572BE169" w:rsidR="00DF3DB7" w:rsidRPr="0036136C" w:rsidRDefault="00DF3DB7" w:rsidP="0036136C">
      <w:pPr>
        <w:spacing w:before="240" w:after="0"/>
        <w:jc w:val="center"/>
        <w:outlineLvl w:val="0"/>
        <w:rPr>
          <w:b/>
          <w:sz w:val="28"/>
        </w:rPr>
      </w:pPr>
      <w:r w:rsidRPr="0036136C">
        <w:rPr>
          <w:b/>
          <w:sz w:val="28"/>
        </w:rPr>
        <w:t xml:space="preserve">PROJEKTI </w:t>
      </w:r>
      <w:r w:rsidR="00D83117">
        <w:t>Mbështetja e Inovacionit Profesional në Kulinari dhe Sipërmarrje (SA-0300384)</w:t>
      </w:r>
    </w:p>
    <w:p w14:paraId="7B0C8F8A" w14:textId="02D6B0F2" w:rsidR="00E75AAC" w:rsidRPr="0036136C" w:rsidRDefault="00E75AAC" w:rsidP="0036136C">
      <w:pPr>
        <w:spacing w:before="360" w:after="0"/>
        <w:jc w:val="center"/>
        <w:outlineLvl w:val="0"/>
        <w:rPr>
          <w:b/>
          <w:sz w:val="28"/>
        </w:rPr>
      </w:pPr>
      <w:r w:rsidRPr="0036136C">
        <w:rPr>
          <w:b/>
          <w:sz w:val="28"/>
        </w:rPr>
        <w:t xml:space="preserve">TITULLI I KONTRATËS </w:t>
      </w:r>
      <w:r w:rsidR="0060138A">
        <w:t>Shërbime të Ekspertizës së Jashtme për Menaxhimin Teknik, Financiar dhe Operacional të Projektit SPICE</w:t>
      </w:r>
    </w:p>
    <w:p w14:paraId="2BEB907A" w14:textId="6394E617" w:rsidR="00FF77CE" w:rsidRPr="00BD19DE" w:rsidRDefault="00E75AAC" w:rsidP="00FF77CE">
      <w:pPr>
        <w:spacing w:before="240"/>
        <w:jc w:val="center"/>
        <w:outlineLvl w:val="0"/>
        <w:rPr>
          <w:sz w:val="22"/>
        </w:rPr>
      </w:pPr>
      <w:r w:rsidRPr="0036136C">
        <w:rPr>
          <w:b/>
          <w:sz w:val="22"/>
        </w:rPr>
        <w:t xml:space="preserve">Numri i identifikimit </w:t>
      </w:r>
      <w:r w:rsidR="0060138A">
        <w:t>SA-0300384 / SPICE</w:t>
      </w:r>
    </w:p>
    <w:p w14:paraId="5FE17277" w14:textId="079F77C9" w:rsidR="0060138A" w:rsidRDefault="009642E7" w:rsidP="00913490">
      <w:pPr>
        <w:pStyle w:val="StyleListNumber11ptBold"/>
        <w:numPr>
          <w:ilvl w:val="0"/>
          <w:numId w:val="23"/>
        </w:numPr>
      </w:pPr>
      <w:r w:rsidRPr="0036136C">
        <w:t>Subjekti</w:t>
      </w:r>
    </w:p>
    <w:p w14:paraId="693F65BD" w14:textId="3FBA7CC8" w:rsidR="00C908C5" w:rsidRPr="0036136C" w:rsidRDefault="006457F0" w:rsidP="00BE49C2">
      <w:pPr>
        <w:spacing w:after="120"/>
        <w:ind w:left="1134" w:hanging="567"/>
        <w:rPr>
          <w:sz w:val="22"/>
          <w:szCs w:val="22"/>
        </w:rPr>
      </w:pPr>
      <w:r>
        <w:rPr>
          <w:sz w:val="22"/>
          <w:szCs w:val="22"/>
        </w:rPr>
        <w:lastRenderedPageBreak/>
        <w:t xml:space="preserve">1.1 </w:t>
      </w:r>
      <w:r w:rsidR="00BE49C2" w:rsidRPr="0036136C">
        <w:rPr>
          <w:sz w:val="22"/>
          <w:szCs w:val="22"/>
        </w:rPr>
        <w:tab/>
      </w:r>
      <w:r w:rsidR="009642E7" w:rsidRPr="0036136C">
        <w:rPr>
          <w:sz w:val="22"/>
          <w:szCs w:val="22"/>
        </w:rPr>
        <w:t xml:space="preserve">Objekti i kësaj kontrate </w:t>
      </w:r>
      <w:r w:rsidR="0060138A">
        <w:t>janë Shërbimet e Ekspertizës së Jashtme për Menaxhimin Teknik, Financiar dhe Operacional të Projektit SPICE në Vlorë, Shqipëri me numër identifikimi SA-0300384 / SPICE ("shërbimet").</w:t>
      </w:r>
    </w:p>
    <w:p w14:paraId="402EE870" w14:textId="77777777" w:rsidR="004B0905" w:rsidRPr="0036136C" w:rsidRDefault="006457F0" w:rsidP="00BE49C2">
      <w:pPr>
        <w:spacing w:after="120"/>
        <w:ind w:left="1134" w:hanging="567"/>
        <w:rPr>
          <w:sz w:val="22"/>
          <w:szCs w:val="22"/>
        </w:rPr>
      </w:pPr>
      <w:r>
        <w:rPr>
          <w:sz w:val="22"/>
          <w:szCs w:val="22"/>
        </w:rPr>
        <w:t xml:space="preserve">1.2 </w:t>
      </w:r>
      <w:r w:rsidR="00BE49C2" w:rsidRPr="0036136C">
        <w:rPr>
          <w:sz w:val="22"/>
          <w:szCs w:val="22"/>
        </w:rPr>
        <w:tab/>
      </w:r>
      <w:r w:rsidR="006C7534" w:rsidRPr="0036136C">
        <w:rPr>
          <w:sz w:val="22"/>
          <w:szCs w:val="22"/>
        </w:rPr>
        <w:t>Kontraktori do të ekzekutojë detyrat që i janë caktuar në përputhje me termat e referencës të bashkëngjitura në kontratë (Shtojca II).</w:t>
      </w:r>
    </w:p>
    <w:p w14:paraId="7AD05A68" w14:textId="270FDB73" w:rsidR="004B0905" w:rsidRDefault="002506DE" w:rsidP="00913490">
      <w:pPr>
        <w:pStyle w:val="StyleListNumber11ptBold"/>
      </w:pPr>
      <w:r w:rsidRPr="0036136C">
        <w:t xml:space="preserve">(2) </w:t>
      </w:r>
      <w:r w:rsidR="004B0905" w:rsidRPr="0036136C">
        <w:tab/>
        <w:t>Vlera e kontratës</w:t>
      </w:r>
    </w:p>
    <w:p w14:paraId="48204BFC" w14:textId="1D6FD441" w:rsidR="00913490" w:rsidRPr="00913490" w:rsidRDefault="00913490" w:rsidP="00913490">
      <w:pPr>
        <w:pStyle w:val="StyleListNumber11ptBold"/>
      </w:pPr>
      <w:r>
        <w:t xml:space="preserve">Kjo kontratë, e hartuar në euro, është një kontratë me çmim global. Vlera e kontratës është </w:t>
      </w:r>
      <w:r w:rsidRPr="00913490">
        <w:rPr>
          <w:rStyle w:val="Strong"/>
          <w:b w:val="0"/>
          <w:bCs w:val="0"/>
        </w:rPr>
        <w:t>32,000 euro.</w:t>
      </w:r>
    </w:p>
    <w:p w14:paraId="29AC1816" w14:textId="26629901" w:rsidR="009642E7" w:rsidRPr="0036136C" w:rsidRDefault="00BE49C2" w:rsidP="00913490">
      <w:pPr>
        <w:pStyle w:val="StyleListNumber11ptBold"/>
      </w:pPr>
      <w:r w:rsidRPr="0036136C">
        <w:t xml:space="preserve">(3) </w:t>
      </w:r>
      <w:r w:rsidRPr="0036136C">
        <w:tab/>
      </w:r>
      <w:r w:rsidR="00A73B34" w:rsidRPr="0036136C">
        <w:t>Renditja e përparësisë së dokumenteve të kontratës</w:t>
      </w:r>
    </w:p>
    <w:p w14:paraId="4A24CF25" w14:textId="77777777" w:rsidR="00A73B34" w:rsidRPr="0036136C" w:rsidRDefault="00A73B34" w:rsidP="0036136C">
      <w:pPr>
        <w:spacing w:after="120"/>
        <w:ind w:left="567"/>
        <w:rPr>
          <w:sz w:val="22"/>
          <w:szCs w:val="22"/>
        </w:rPr>
      </w:pPr>
      <w:r w:rsidRPr="0036136C">
        <w:rPr>
          <w:sz w:val="22"/>
          <w:szCs w:val="22"/>
        </w:rPr>
        <w:t>Dokumentet e mëposhtme do të konsiderohen se formojnë dhe lexohen e interpretohen si pjesë e kësaj kontrate, sipas rendit të mëposhtëm të përparësisë:</w:t>
      </w:r>
    </w:p>
    <w:p w14:paraId="012B9F67" w14:textId="77777777"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marrëveshja e kontratës;</w:t>
      </w:r>
    </w:p>
    <w:p w14:paraId="018EE78C" w14:textId="77777777"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kushtet e veçanta</w:t>
      </w:r>
    </w:p>
    <w:p w14:paraId="62559104" w14:textId="77777777"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kushtet e përgjithshme (Shtojca I);</w:t>
      </w:r>
    </w:p>
    <w:p w14:paraId="07A943C6" w14:textId="77777777" w:rsidR="00A73B34" w:rsidRPr="0060138A" w:rsidRDefault="00A73B34" w:rsidP="00C73B43">
      <w:pPr>
        <w:numPr>
          <w:ilvl w:val="0"/>
          <w:numId w:val="4"/>
        </w:numPr>
        <w:tabs>
          <w:tab w:val="left" w:pos="993"/>
        </w:tabs>
        <w:spacing w:after="60"/>
        <w:ind w:left="993" w:hanging="284"/>
        <w:rPr>
          <w:color w:val="000000"/>
          <w:sz w:val="22"/>
          <w:szCs w:val="22"/>
        </w:rPr>
      </w:pPr>
      <w:r w:rsidRPr="0036136C">
        <w:rPr>
          <w:sz w:val="22"/>
          <w:szCs w:val="22"/>
        </w:rPr>
        <w:t xml:space="preserve">termat e referencës [duke përfshirë sqarimet para afatit të fundit për dorëzimin e ofertave </w:t>
      </w:r>
      <w:r w:rsidRPr="0060138A">
        <w:rPr>
          <w:color w:val="000000"/>
          <w:sz w:val="22"/>
          <w:szCs w:val="22"/>
        </w:rPr>
        <w:t>dhe procesverbalin e takimit informues/vizitës në vend] (Shtojca II)</w:t>
      </w:r>
    </w:p>
    <w:p w14:paraId="393719A1" w14:textId="6FD50CC2" w:rsidR="00A73B34" w:rsidRPr="00581574" w:rsidRDefault="00A73B34" w:rsidP="00581574">
      <w:pPr>
        <w:numPr>
          <w:ilvl w:val="0"/>
          <w:numId w:val="4"/>
        </w:numPr>
        <w:tabs>
          <w:tab w:val="left" w:pos="993"/>
        </w:tabs>
        <w:spacing w:after="60"/>
        <w:ind w:left="993" w:hanging="284"/>
        <w:rPr>
          <w:color w:val="000000"/>
          <w:sz w:val="22"/>
          <w:szCs w:val="22"/>
        </w:rPr>
      </w:pPr>
      <w:r w:rsidRPr="0060138A">
        <w:rPr>
          <w:color w:val="000000"/>
          <w:sz w:val="22"/>
          <w:szCs w:val="22"/>
        </w:rPr>
        <w:t>organizimin dhe metodologjinë [duke përfshirë sqarimet nga ofertuesi të dhëna gjatë vlerësimit të ofertës (Shtojca III);</w:t>
      </w:r>
    </w:p>
    <w:p w14:paraId="11DF0597" w14:textId="0B9F0D7C" w:rsidR="00A73B34" w:rsidRPr="0060138A" w:rsidRDefault="0060138A" w:rsidP="00C73B43">
      <w:pPr>
        <w:numPr>
          <w:ilvl w:val="0"/>
          <w:numId w:val="4"/>
        </w:numPr>
        <w:tabs>
          <w:tab w:val="left" w:pos="993"/>
        </w:tabs>
        <w:spacing w:after="60"/>
        <w:ind w:left="993" w:hanging="284"/>
        <w:rPr>
          <w:color w:val="000000"/>
          <w:sz w:val="22"/>
          <w:szCs w:val="22"/>
        </w:rPr>
      </w:pPr>
      <w:r w:rsidRPr="0060138A">
        <w:rPr>
          <w:color w:val="000000"/>
          <w:sz w:val="22"/>
          <w:szCs w:val="22"/>
        </w:rPr>
        <w:t>Buxheti: ndarja (Shtojca V);</w:t>
      </w:r>
    </w:p>
    <w:p w14:paraId="33E62C00" w14:textId="77777777" w:rsidR="00A73B34" w:rsidRPr="0060138A" w:rsidRDefault="00A73B34" w:rsidP="00C73B43">
      <w:pPr>
        <w:numPr>
          <w:ilvl w:val="0"/>
          <w:numId w:val="4"/>
        </w:numPr>
        <w:tabs>
          <w:tab w:val="left" w:pos="993"/>
        </w:tabs>
        <w:spacing w:after="60"/>
        <w:ind w:left="993" w:hanging="284"/>
        <w:rPr>
          <w:color w:val="000000"/>
          <w:sz w:val="22"/>
          <w:szCs w:val="22"/>
        </w:rPr>
      </w:pPr>
      <w:r w:rsidRPr="0060138A">
        <w:rPr>
          <w:color w:val="000000"/>
          <w:sz w:val="22"/>
          <w:szCs w:val="22"/>
        </w:rPr>
        <w:t>formularët e specifikuar dhe dokumentet e tjera përkatëse (Shtojca VI));</w:t>
      </w:r>
    </w:p>
    <w:p w14:paraId="0D6D404F" w14:textId="77777777" w:rsidR="0036136C" w:rsidRPr="00E33812" w:rsidRDefault="00A73B34" w:rsidP="0036136C">
      <w:pPr>
        <w:spacing w:after="120"/>
        <w:ind w:left="567"/>
        <w:rPr>
          <w:b/>
          <w:sz w:val="22"/>
          <w:szCs w:val="22"/>
        </w:rPr>
      </w:pPr>
      <w:r w:rsidRPr="00E33812">
        <w:rPr>
          <w:b/>
          <w:sz w:val="22"/>
          <w:szCs w:val="22"/>
        </w:rPr>
        <w:t>Dokumentet e ndryshme që përbëjnë kontratën do të konsiderohen si shpjeguese të ndërsjella; në raste paqartësie ose mospërputhjeje, ato do të mbizotërojnë sipas renditjes në të cilën shfaqen më sipër. Shtojcat do të kenë rendin e përparësisë së dokumentit që ato po ndryshojnë.</w:t>
      </w:r>
      <w:r w:rsidRPr="00E33812" w:rsidDel="00A73B34">
        <w:rPr>
          <w:b/>
          <w:sz w:val="22"/>
          <w:szCs w:val="22"/>
        </w:rPr>
        <w:t xml:space="preserve"> </w:t>
      </w:r>
    </w:p>
    <w:p w14:paraId="3348DBEF" w14:textId="77777777" w:rsidR="00CB06F5" w:rsidRPr="0036136C" w:rsidRDefault="00BE49C2" w:rsidP="00913490">
      <w:pPr>
        <w:pStyle w:val="StyleListNumber11ptBold"/>
      </w:pPr>
      <w:r w:rsidRPr="0036136C">
        <w:t xml:space="preserve">(4) </w:t>
      </w:r>
      <w:r w:rsidRPr="0036136C">
        <w:tab/>
      </w:r>
      <w:r w:rsidR="00CB06F5" w:rsidRPr="0036136C">
        <w:t>Gjuha e kontratës</w:t>
      </w:r>
    </w:p>
    <w:p w14:paraId="0D2A335F" w14:textId="62904998" w:rsidR="00CB06F5" w:rsidRPr="0036136C" w:rsidRDefault="00CB06F5" w:rsidP="006457F0">
      <w:pPr>
        <w:spacing w:after="120"/>
        <w:ind w:left="567"/>
        <w:rPr>
          <w:sz w:val="22"/>
          <w:szCs w:val="22"/>
        </w:rPr>
      </w:pPr>
      <w:r w:rsidRPr="0036136C">
        <w:rPr>
          <w:sz w:val="22"/>
          <w:szCs w:val="22"/>
        </w:rPr>
        <w:t>Gjuha e kontratës dhe e të gjitha komunikimeve me shkrim midis kontraktorit dhe autoritetit kontraktues dhe/ose menaxherit të projektit do të jetë anglishtja dhe shqipja.</w:t>
      </w:r>
    </w:p>
    <w:p w14:paraId="27018B4B" w14:textId="4BABA321" w:rsidR="00E75AAC" w:rsidRDefault="00BE49C2" w:rsidP="00913490">
      <w:pPr>
        <w:pStyle w:val="StyleListNumber11ptBold"/>
      </w:pPr>
      <w:bookmarkStart w:id="0" w:name="_Ref500218714"/>
      <w:r w:rsidRPr="0036136C">
        <w:t xml:space="preserve">(5) </w:t>
      </w:r>
      <w:r w:rsidRPr="0036136C">
        <w:tab/>
      </w:r>
      <w:r w:rsidR="00E75AAC" w:rsidRPr="0036136C">
        <w:t>Kushte të tjera specifike që zbatohen për kontratën</w:t>
      </w:r>
    </w:p>
    <w:p w14:paraId="129E0993" w14:textId="77777777" w:rsidR="000D6FF2" w:rsidRPr="000D6FF2" w:rsidRDefault="000D6FF2" w:rsidP="00913490">
      <w:pPr>
        <w:pStyle w:val="StyleListNumber11ptBold"/>
      </w:pPr>
    </w:p>
    <w:p w14:paraId="556D02A3" w14:textId="523A8439" w:rsidR="00E75AAC" w:rsidRPr="00355978" w:rsidRDefault="00E75AAC" w:rsidP="006D34F6">
      <w:pPr>
        <w:pStyle w:val="ListNumber"/>
        <w:numPr>
          <w:ilvl w:val="0"/>
          <w:numId w:val="0"/>
        </w:numPr>
        <w:spacing w:after="120"/>
        <w:ind w:left="-142"/>
        <w:rPr>
          <w:sz w:val="22"/>
          <w:szCs w:val="22"/>
        </w:rPr>
      </w:pPr>
      <w:r w:rsidRPr="000D6FF2">
        <w:rPr>
          <w:sz w:val="22"/>
          <w:szCs w:val="22"/>
        </w:rPr>
        <w:t xml:space="preserve">Për menaxhim të drejtpërdrejtë </w:t>
      </w:r>
      <w:r w:rsidRPr="000D6FF2">
        <w:rPr>
          <w:i/>
          <w:sz w:val="22"/>
          <w:szCs w:val="22"/>
        </w:rPr>
        <w:t xml:space="preserve">: </w:t>
      </w:r>
      <w:r w:rsidR="002B4BA8" w:rsidRPr="000D6FF2">
        <w:rPr>
          <w:sz w:val="22"/>
          <w:szCs w:val="22"/>
        </w:rPr>
        <w:t>[një] [dy] origjinale për Komisionin Evropian] [Për menaxhim të tërthortë:</w:t>
      </w:r>
      <w:r w:rsidRPr="000D6FF2">
        <w:rPr>
          <w:i/>
          <w:sz w:val="22"/>
          <w:szCs w:val="22"/>
        </w:rPr>
        <w:t xml:space="preserve"> </w:t>
      </w:r>
      <w:r w:rsidRPr="000D6FF2">
        <w:rPr>
          <w:sz w:val="22"/>
          <w:szCs w:val="22"/>
        </w:rPr>
        <w:t>një origjinal për autoritetin kontraktues, një origjinal për Komisionin Evropian] dhe një origjinal për kontraktorin.</w:t>
      </w:r>
    </w:p>
    <w:tbl>
      <w:tblPr>
        <w:tblW w:w="9501" w:type="dxa"/>
        <w:tblLayout w:type="fixed"/>
        <w:tblLook w:val="0000" w:firstRow="0" w:lastRow="0" w:firstColumn="0" w:lastColumn="0" w:noHBand="0" w:noVBand="0"/>
      </w:tblPr>
      <w:tblGrid>
        <w:gridCol w:w="1599"/>
        <w:gridCol w:w="3259"/>
        <w:gridCol w:w="2321"/>
        <w:gridCol w:w="2322"/>
      </w:tblGrid>
      <w:tr w:rsidR="00E75AAC" w:rsidRPr="00355978" w14:paraId="420167B0" w14:textId="77777777" w:rsidTr="00A1628E">
        <w:tc>
          <w:tcPr>
            <w:tcW w:w="4858" w:type="dxa"/>
            <w:gridSpan w:val="2"/>
          </w:tcPr>
          <w:p w14:paraId="520B10F0" w14:textId="77777777" w:rsidR="00E75AAC" w:rsidRPr="00355978" w:rsidRDefault="00E75AAC" w:rsidP="004F3059">
            <w:pPr>
              <w:pStyle w:val="BodyText"/>
              <w:keepNext/>
              <w:keepLines/>
              <w:rPr>
                <w:b/>
                <w:sz w:val="22"/>
                <w:szCs w:val="22"/>
              </w:rPr>
            </w:pPr>
            <w:r w:rsidRPr="00355978">
              <w:rPr>
                <w:b/>
                <w:sz w:val="22"/>
                <w:szCs w:val="22"/>
              </w:rPr>
              <w:lastRenderedPageBreak/>
              <w:t xml:space="preserve">Për </w:t>
            </w:r>
            <w:r w:rsidR="004E2AD3" w:rsidRPr="00355978">
              <w:rPr>
                <w:b/>
                <w:sz w:val="22"/>
                <w:szCs w:val="22"/>
              </w:rPr>
              <w:t>kontraktorin</w:t>
            </w:r>
          </w:p>
        </w:tc>
        <w:tc>
          <w:tcPr>
            <w:tcW w:w="4643" w:type="dxa"/>
            <w:gridSpan w:val="2"/>
          </w:tcPr>
          <w:p w14:paraId="0D95AC58" w14:textId="77777777" w:rsidR="00E75AAC" w:rsidRPr="00355978" w:rsidRDefault="00E75AAC" w:rsidP="004F3059">
            <w:pPr>
              <w:pStyle w:val="BodyText"/>
              <w:keepNext/>
              <w:keepLines/>
              <w:rPr>
                <w:b/>
                <w:sz w:val="22"/>
                <w:szCs w:val="22"/>
              </w:rPr>
            </w:pPr>
            <w:r w:rsidRPr="00355978">
              <w:rPr>
                <w:b/>
                <w:sz w:val="22"/>
                <w:szCs w:val="22"/>
              </w:rPr>
              <w:t>Për autoritetin kontraktues</w:t>
            </w:r>
          </w:p>
        </w:tc>
      </w:tr>
      <w:tr w:rsidR="00E75AAC" w:rsidRPr="00355978" w14:paraId="682B88FE" w14:textId="77777777" w:rsidTr="00A1628E">
        <w:trPr>
          <w:cantSplit/>
        </w:trPr>
        <w:tc>
          <w:tcPr>
            <w:tcW w:w="1599" w:type="dxa"/>
          </w:tcPr>
          <w:p w14:paraId="4AF39BDC" w14:textId="77777777" w:rsidR="00E75AAC" w:rsidRPr="00355978" w:rsidRDefault="00E75AAC" w:rsidP="006457F0">
            <w:pPr>
              <w:pStyle w:val="BodyText"/>
              <w:keepNext/>
              <w:keepLines/>
              <w:spacing w:before="160" w:after="160"/>
              <w:rPr>
                <w:sz w:val="22"/>
                <w:szCs w:val="22"/>
              </w:rPr>
            </w:pPr>
            <w:r w:rsidRPr="00355978">
              <w:rPr>
                <w:sz w:val="22"/>
                <w:szCs w:val="22"/>
              </w:rPr>
              <w:t>Emri:</w:t>
            </w:r>
          </w:p>
        </w:tc>
        <w:tc>
          <w:tcPr>
            <w:tcW w:w="3259" w:type="dxa"/>
          </w:tcPr>
          <w:p w14:paraId="7EAF275A" w14:textId="77777777" w:rsidR="00E75AAC" w:rsidRPr="00355978" w:rsidRDefault="00E75AAC" w:rsidP="006457F0">
            <w:pPr>
              <w:pStyle w:val="BodyText"/>
              <w:keepNext/>
              <w:keepLines/>
              <w:spacing w:before="160" w:after="160"/>
              <w:rPr>
                <w:sz w:val="22"/>
                <w:szCs w:val="22"/>
              </w:rPr>
            </w:pPr>
          </w:p>
        </w:tc>
        <w:tc>
          <w:tcPr>
            <w:tcW w:w="2321" w:type="dxa"/>
          </w:tcPr>
          <w:p w14:paraId="20859F22" w14:textId="77777777" w:rsidR="00E75AAC" w:rsidRPr="00355978" w:rsidRDefault="00E75AAC" w:rsidP="006457F0">
            <w:pPr>
              <w:pStyle w:val="BodyText"/>
              <w:keepNext/>
              <w:keepLines/>
              <w:spacing w:before="160" w:after="160"/>
              <w:rPr>
                <w:sz w:val="22"/>
                <w:szCs w:val="22"/>
              </w:rPr>
            </w:pPr>
            <w:r w:rsidRPr="00355978">
              <w:rPr>
                <w:sz w:val="22"/>
                <w:szCs w:val="22"/>
              </w:rPr>
              <w:t>Emri:</w:t>
            </w:r>
          </w:p>
        </w:tc>
        <w:tc>
          <w:tcPr>
            <w:tcW w:w="2322" w:type="dxa"/>
          </w:tcPr>
          <w:p w14:paraId="4136A382" w14:textId="77777777" w:rsidR="00E75AAC" w:rsidRPr="00355978" w:rsidRDefault="00E75AAC" w:rsidP="006457F0">
            <w:pPr>
              <w:pStyle w:val="BodyText"/>
              <w:keepNext/>
              <w:keepLines/>
              <w:spacing w:before="160" w:after="160"/>
              <w:rPr>
                <w:sz w:val="22"/>
                <w:szCs w:val="22"/>
              </w:rPr>
            </w:pPr>
          </w:p>
        </w:tc>
      </w:tr>
      <w:tr w:rsidR="00E75AAC" w:rsidRPr="00355978" w14:paraId="34B94573" w14:textId="77777777" w:rsidTr="00A1628E">
        <w:trPr>
          <w:cantSplit/>
        </w:trPr>
        <w:tc>
          <w:tcPr>
            <w:tcW w:w="1599" w:type="dxa"/>
          </w:tcPr>
          <w:p w14:paraId="69335F26" w14:textId="77777777" w:rsidR="00E75AAC" w:rsidRPr="00355978" w:rsidRDefault="00E75AAC" w:rsidP="006457F0">
            <w:pPr>
              <w:pStyle w:val="BodyText"/>
              <w:keepNext/>
              <w:keepLines/>
              <w:spacing w:before="160" w:after="160"/>
              <w:rPr>
                <w:sz w:val="22"/>
                <w:szCs w:val="22"/>
              </w:rPr>
            </w:pPr>
            <w:r w:rsidRPr="00355978">
              <w:rPr>
                <w:sz w:val="22"/>
                <w:szCs w:val="22"/>
              </w:rPr>
              <w:t>Titulli:</w:t>
            </w:r>
          </w:p>
        </w:tc>
        <w:tc>
          <w:tcPr>
            <w:tcW w:w="3259" w:type="dxa"/>
          </w:tcPr>
          <w:p w14:paraId="72D61DB4" w14:textId="77777777" w:rsidR="00E75AAC" w:rsidRPr="00355978" w:rsidRDefault="00E75AAC" w:rsidP="006457F0">
            <w:pPr>
              <w:pStyle w:val="BodyText"/>
              <w:keepNext/>
              <w:keepLines/>
              <w:spacing w:before="160" w:after="160"/>
              <w:rPr>
                <w:sz w:val="22"/>
                <w:szCs w:val="22"/>
              </w:rPr>
            </w:pPr>
          </w:p>
        </w:tc>
        <w:tc>
          <w:tcPr>
            <w:tcW w:w="2321" w:type="dxa"/>
          </w:tcPr>
          <w:p w14:paraId="1B3E679F" w14:textId="77777777" w:rsidR="00E75AAC" w:rsidRPr="00355978" w:rsidRDefault="00E75AAC" w:rsidP="006457F0">
            <w:pPr>
              <w:pStyle w:val="BodyText"/>
              <w:keepNext/>
              <w:keepLines/>
              <w:spacing w:before="160" w:after="160"/>
              <w:rPr>
                <w:sz w:val="22"/>
                <w:szCs w:val="22"/>
              </w:rPr>
            </w:pPr>
            <w:r w:rsidRPr="00355978">
              <w:rPr>
                <w:sz w:val="22"/>
                <w:szCs w:val="22"/>
              </w:rPr>
              <w:t>Titulli:</w:t>
            </w:r>
          </w:p>
        </w:tc>
        <w:tc>
          <w:tcPr>
            <w:tcW w:w="2322" w:type="dxa"/>
          </w:tcPr>
          <w:p w14:paraId="441A0186" w14:textId="77777777" w:rsidR="00E75AAC" w:rsidRPr="00355978" w:rsidRDefault="00E75AAC" w:rsidP="006457F0">
            <w:pPr>
              <w:pStyle w:val="BodyText"/>
              <w:keepNext/>
              <w:keepLines/>
              <w:spacing w:before="160" w:after="160"/>
              <w:rPr>
                <w:sz w:val="22"/>
                <w:szCs w:val="22"/>
              </w:rPr>
            </w:pPr>
          </w:p>
        </w:tc>
      </w:tr>
      <w:tr w:rsidR="00E75AAC" w:rsidRPr="00355978" w14:paraId="71675FB6" w14:textId="77777777" w:rsidTr="00A1628E">
        <w:trPr>
          <w:cantSplit/>
        </w:trPr>
        <w:tc>
          <w:tcPr>
            <w:tcW w:w="1599" w:type="dxa"/>
          </w:tcPr>
          <w:p w14:paraId="42AA2977" w14:textId="77777777" w:rsidR="00E75AAC" w:rsidRPr="00355978" w:rsidRDefault="00E75AAC" w:rsidP="006457F0">
            <w:pPr>
              <w:pStyle w:val="BodyText"/>
              <w:keepNext/>
              <w:keepLines/>
              <w:spacing w:before="160" w:after="160"/>
              <w:rPr>
                <w:sz w:val="22"/>
                <w:szCs w:val="22"/>
              </w:rPr>
            </w:pPr>
            <w:r w:rsidRPr="00355978">
              <w:rPr>
                <w:sz w:val="22"/>
                <w:szCs w:val="22"/>
              </w:rPr>
              <w:t>Nënshkrimi:</w:t>
            </w:r>
          </w:p>
        </w:tc>
        <w:tc>
          <w:tcPr>
            <w:tcW w:w="3259" w:type="dxa"/>
          </w:tcPr>
          <w:p w14:paraId="15058829" w14:textId="77777777" w:rsidR="00E75AAC" w:rsidRPr="00355978" w:rsidRDefault="00E75AAC" w:rsidP="006457F0">
            <w:pPr>
              <w:pStyle w:val="BodyText"/>
              <w:keepNext/>
              <w:keepLines/>
              <w:spacing w:before="160" w:after="160"/>
              <w:rPr>
                <w:sz w:val="22"/>
                <w:szCs w:val="22"/>
              </w:rPr>
            </w:pPr>
          </w:p>
        </w:tc>
        <w:tc>
          <w:tcPr>
            <w:tcW w:w="2321" w:type="dxa"/>
          </w:tcPr>
          <w:p w14:paraId="10453CC7" w14:textId="77777777" w:rsidR="00E75AAC" w:rsidRPr="00355978" w:rsidRDefault="00E75AAC" w:rsidP="006457F0">
            <w:pPr>
              <w:pStyle w:val="BodyText"/>
              <w:keepNext/>
              <w:keepLines/>
              <w:spacing w:before="160" w:after="160"/>
              <w:rPr>
                <w:sz w:val="22"/>
                <w:szCs w:val="22"/>
              </w:rPr>
            </w:pPr>
            <w:r w:rsidRPr="00355978">
              <w:rPr>
                <w:sz w:val="22"/>
                <w:szCs w:val="22"/>
              </w:rPr>
              <w:t>Nënshkrimi:</w:t>
            </w:r>
          </w:p>
        </w:tc>
        <w:tc>
          <w:tcPr>
            <w:tcW w:w="2322" w:type="dxa"/>
          </w:tcPr>
          <w:p w14:paraId="4B395464" w14:textId="77777777" w:rsidR="00E75AAC" w:rsidRPr="00355978" w:rsidRDefault="00E75AAC" w:rsidP="006457F0">
            <w:pPr>
              <w:pStyle w:val="BodyText"/>
              <w:keepNext/>
              <w:keepLines/>
              <w:spacing w:before="160" w:after="160"/>
              <w:rPr>
                <w:sz w:val="22"/>
                <w:szCs w:val="22"/>
              </w:rPr>
            </w:pPr>
          </w:p>
        </w:tc>
      </w:tr>
      <w:tr w:rsidR="00E75AAC" w:rsidRPr="00355978" w14:paraId="620B59E3" w14:textId="77777777" w:rsidTr="00A1628E">
        <w:trPr>
          <w:cantSplit/>
        </w:trPr>
        <w:tc>
          <w:tcPr>
            <w:tcW w:w="1599" w:type="dxa"/>
          </w:tcPr>
          <w:p w14:paraId="25CFABBA" w14:textId="77777777" w:rsidR="00E75AAC" w:rsidRPr="00355978" w:rsidRDefault="00E75AAC" w:rsidP="006457F0">
            <w:pPr>
              <w:pStyle w:val="BodyText"/>
              <w:keepNext/>
              <w:keepLines/>
              <w:spacing w:before="160" w:after="160"/>
              <w:rPr>
                <w:sz w:val="22"/>
                <w:szCs w:val="22"/>
              </w:rPr>
            </w:pPr>
            <w:r w:rsidRPr="00355978">
              <w:rPr>
                <w:sz w:val="22"/>
                <w:szCs w:val="22"/>
              </w:rPr>
              <w:t>Data:</w:t>
            </w:r>
          </w:p>
        </w:tc>
        <w:tc>
          <w:tcPr>
            <w:tcW w:w="3259" w:type="dxa"/>
          </w:tcPr>
          <w:p w14:paraId="2AFBB38C" w14:textId="77777777" w:rsidR="00E75AAC" w:rsidRPr="00355978" w:rsidRDefault="00E75AAC" w:rsidP="006457F0">
            <w:pPr>
              <w:pStyle w:val="BodyText"/>
              <w:keepNext/>
              <w:keepLines/>
              <w:spacing w:before="160" w:after="160"/>
              <w:rPr>
                <w:sz w:val="22"/>
                <w:szCs w:val="22"/>
              </w:rPr>
            </w:pPr>
          </w:p>
        </w:tc>
        <w:tc>
          <w:tcPr>
            <w:tcW w:w="2321" w:type="dxa"/>
          </w:tcPr>
          <w:p w14:paraId="1523C573" w14:textId="77777777" w:rsidR="00E75AAC" w:rsidRPr="00355978" w:rsidRDefault="00E75AAC" w:rsidP="006457F0">
            <w:pPr>
              <w:pStyle w:val="BodyText"/>
              <w:keepNext/>
              <w:keepLines/>
              <w:spacing w:before="160" w:after="160"/>
              <w:rPr>
                <w:sz w:val="22"/>
                <w:szCs w:val="22"/>
              </w:rPr>
            </w:pPr>
            <w:r w:rsidRPr="00355978">
              <w:rPr>
                <w:sz w:val="22"/>
                <w:szCs w:val="22"/>
              </w:rPr>
              <w:t>Data:</w:t>
            </w:r>
          </w:p>
        </w:tc>
        <w:tc>
          <w:tcPr>
            <w:tcW w:w="2322" w:type="dxa"/>
          </w:tcPr>
          <w:p w14:paraId="185A7A1D" w14:textId="77777777" w:rsidR="00E75AAC" w:rsidRPr="00355978" w:rsidRDefault="00E75AAC" w:rsidP="006457F0">
            <w:pPr>
              <w:pStyle w:val="BodyText"/>
              <w:keepNext/>
              <w:keepLines/>
              <w:spacing w:before="160" w:after="160"/>
              <w:rPr>
                <w:sz w:val="22"/>
                <w:szCs w:val="22"/>
              </w:rPr>
            </w:pPr>
          </w:p>
        </w:tc>
      </w:tr>
    </w:tbl>
    <w:p w14:paraId="43813FFF" w14:textId="77777777" w:rsidR="00E75AAC" w:rsidRPr="00F8178E" w:rsidRDefault="004B0905" w:rsidP="00F8178E">
      <w:pPr>
        <w:jc w:val="center"/>
        <w:rPr>
          <w:b/>
          <w:sz w:val="28"/>
          <w:szCs w:val="28"/>
        </w:rPr>
      </w:pPr>
      <w:r w:rsidRPr="006457F0">
        <w:br w:type="page"/>
      </w:r>
      <w:r w:rsidR="00E75AAC" w:rsidRPr="00F8178E">
        <w:rPr>
          <w:b/>
          <w:sz w:val="28"/>
          <w:szCs w:val="28"/>
        </w:rPr>
        <w:lastRenderedPageBreak/>
        <w:t>KUSHTE TË VEÇANTA</w:t>
      </w:r>
    </w:p>
    <w:p w14:paraId="5080E4DD" w14:textId="77777777" w:rsidR="00CB06F5" w:rsidRPr="00B547BD" w:rsidRDefault="00EF3B57" w:rsidP="00F8178E">
      <w:pPr>
        <w:rPr>
          <w:sz w:val="22"/>
          <w:szCs w:val="22"/>
        </w:rPr>
      </w:pPr>
      <w:r w:rsidRPr="00B547BD">
        <w:rPr>
          <w:sz w:val="22"/>
          <w:szCs w:val="22"/>
        </w:rPr>
        <w:t xml:space="preserve">Këto kushte i zgjerojnë dhe i plotësojnë kushtet e përgjithshme që rregullojnë kontratën. Përveç nëse kushtet e veçanta parashikojnë ndryshe, kushtet e përgjithshme mbeten plotësisht të zbatueshme. Numërimi i neneve të kushteve të veçanta nuk është i njëpasnjëshëm, por ndjek numërimin e kushteve të përgjithshme. Përjashtimisht, dhe me miratimin e departamenteve kompetente të Komisionit Evropian, mund të tregohen klauzola të tjera për të mbuluar </w:t>
      </w:r>
      <w:r w:rsidR="005E2075" w:rsidRPr="00B547BD">
        <w:rPr>
          <w:sz w:val="22"/>
          <w:szCs w:val="22"/>
        </w:rPr>
        <w:t xml:space="preserve">situata të veçanta </w:t>
      </w:r>
      <w:r w:rsidRPr="00B547BD">
        <w:rPr>
          <w:sz w:val="22"/>
          <w:szCs w:val="22"/>
        </w:rPr>
        <w:t>.</w:t>
      </w:r>
    </w:p>
    <w:p w14:paraId="4A6A3172" w14:textId="1CB57E46" w:rsidR="00CB06F5" w:rsidRPr="000D6FF2" w:rsidRDefault="00CB06F5" w:rsidP="000D6FF2">
      <w:pPr>
        <w:spacing w:before="240" w:after="120"/>
        <w:ind w:left="1134" w:hanging="1134"/>
        <w:rPr>
          <w:b/>
        </w:rPr>
      </w:pPr>
      <w:r w:rsidRPr="00B8227D">
        <w:rPr>
          <w:b/>
        </w:rPr>
        <w:t xml:space="preserve">Neni 2 </w:t>
      </w:r>
      <w:r w:rsidRPr="00B8227D">
        <w:rPr>
          <w:b/>
        </w:rPr>
        <w:tab/>
        <w:t>Komunikimet</w:t>
      </w:r>
    </w:p>
    <w:p w14:paraId="66F7C325" w14:textId="77777777" w:rsidR="004F3059" w:rsidRPr="004F3059" w:rsidRDefault="004F3059" w:rsidP="004F3059">
      <w:pPr>
        <w:keepNext/>
        <w:keepLines/>
        <w:spacing w:after="120"/>
        <w:ind w:left="567" w:hanging="567"/>
        <w:rPr>
          <w:sz w:val="22"/>
          <w:szCs w:val="22"/>
        </w:rPr>
      </w:pPr>
      <w:r>
        <w:rPr>
          <w:sz w:val="22"/>
          <w:szCs w:val="22"/>
        </w:rPr>
        <w:t xml:space="preserve">2.2 </w:t>
      </w:r>
      <w:r>
        <w:rPr>
          <w:sz w:val="22"/>
          <w:szCs w:val="22"/>
        </w:rPr>
        <w:tab/>
      </w:r>
      <w:r w:rsidRPr="004F3059">
        <w:rPr>
          <w:sz w:val="22"/>
          <w:szCs w:val="22"/>
        </w:rPr>
        <w:t xml:space="preserve">Një sistem elektronik do të përdoret nga autoriteti kontraktues dhe kontraktori për të gjitha fazat e zbatimit, duke përfshirë, ndër të tjera, menaxhimin e kontratës (ndryshimet dhe urdhrat administrativë), raportimin (duke përfshirë raportimin mbi rezultatet) dhe pagesat. Kontraktori do të duhet të regjistrohet dhe të përdorë sistemin e duhur të shkëmbimit elektronik për të lejuar menaxhimin elektronik të kontratës. </w:t>
      </w:r>
      <w:r w:rsidR="005032DF" w:rsidRPr="005032DF">
        <w:rPr>
          <w:sz w:val="22"/>
          <w:szCs w:val="22"/>
        </w:rPr>
        <w:t>Lidhur me raportet e ndërmjetme dhe përfundimtare, nëse ato kërkohen sipas Nenit 26 ose termave të referencës, kontraktori do të pritet të përdorë formularët në sistemin elektronik për kodimin dhe dorëzimin e raporteve.</w:t>
      </w:r>
    </w:p>
    <w:p w14:paraId="4A064F63" w14:textId="77777777" w:rsidR="004F3059" w:rsidRPr="0036136C" w:rsidRDefault="004F3059" w:rsidP="004F3059">
      <w:pPr>
        <w:keepNext/>
        <w:keepLines/>
        <w:spacing w:after="120"/>
        <w:ind w:left="567" w:hanging="567"/>
        <w:rPr>
          <w:sz w:val="22"/>
          <w:szCs w:val="22"/>
        </w:rPr>
      </w:pPr>
      <w:r w:rsidRPr="004F3059">
        <w:rPr>
          <w:sz w:val="22"/>
          <w:szCs w:val="22"/>
        </w:rPr>
        <w:tab/>
        <w:t xml:space="preserve">Menaxhimi elektronik i kontratës përmes sistemit të lartpërmendur mund të fillojë në datën në të cilën fillon zbatimi i kontratës, siç përshkruhet në Nenin 19 më poshtë, ose në një datë të mëvonshme </w:t>
      </w:r>
      <w:r w:rsidR="00174344">
        <w:rPr>
          <w:sz w:val="22"/>
          <w:szCs w:val="22"/>
        </w:rPr>
        <w:t>.</w:t>
      </w:r>
      <w:r w:rsidR="005032DF" w:rsidRPr="005032DF">
        <w:t xml:space="preserve"> </w:t>
      </w:r>
      <w:r w:rsidR="005032DF" w:rsidRPr="005032DF">
        <w:rPr>
          <w:sz w:val="22"/>
          <w:szCs w:val="22"/>
        </w:rPr>
        <w:t>Në rastin e fundit, autoriteti kontraktor do ta informojë kontraktorin me shkrim se ai do të jetë i detyruar të përdorë sistemin elektronik për të gjitha komunikimet brenda një periudhe maksimale prej 3 muajsh.</w:t>
      </w:r>
    </w:p>
    <w:p w14:paraId="6F2066D9" w14:textId="4D582711" w:rsidR="00CB06F5" w:rsidRDefault="00CB06F5" w:rsidP="00B8227D">
      <w:pPr>
        <w:spacing w:before="240" w:after="120"/>
        <w:ind w:left="1134" w:hanging="1134"/>
        <w:rPr>
          <w:b/>
        </w:rPr>
      </w:pPr>
      <w:r w:rsidRPr="00B8227D">
        <w:rPr>
          <w:b/>
        </w:rPr>
        <w:t xml:space="preserve">Neni 4 </w:t>
      </w:r>
      <w:r w:rsidRPr="00B8227D">
        <w:rPr>
          <w:b/>
        </w:rPr>
        <w:tab/>
        <w:t>Nënkontraktimi</w:t>
      </w:r>
    </w:p>
    <w:p w14:paraId="18E30493" w14:textId="32B7A7FA" w:rsidR="00186098" w:rsidRPr="00BD19DE" w:rsidRDefault="00186098" w:rsidP="000D6FF2">
      <w:pPr>
        <w:pStyle w:val="ListNumber"/>
        <w:numPr>
          <w:ilvl w:val="0"/>
          <w:numId w:val="0"/>
        </w:numPr>
        <w:tabs>
          <w:tab w:val="left" w:pos="1134"/>
        </w:tabs>
        <w:rPr>
          <w:b/>
          <w:sz w:val="22"/>
          <w:szCs w:val="22"/>
        </w:rPr>
      </w:pPr>
      <w:r w:rsidRPr="00BD19DE">
        <w:rPr>
          <w:b/>
          <w:sz w:val="22"/>
          <w:szCs w:val="22"/>
        </w:rPr>
        <w:t xml:space="preserve">Neni 7 </w:t>
      </w:r>
      <w:r w:rsidRPr="00BD19DE">
        <w:rPr>
          <w:b/>
          <w:sz w:val="22"/>
          <w:szCs w:val="22"/>
        </w:rPr>
        <w:tab/>
      </w:r>
      <w:r w:rsidR="004E2AD3">
        <w:rPr>
          <w:b/>
          <w:sz w:val="22"/>
          <w:szCs w:val="22"/>
        </w:rPr>
        <w:t xml:space="preserve">Detyrimet </w:t>
      </w:r>
      <w:r w:rsidRPr="00BD19DE">
        <w:rPr>
          <w:b/>
          <w:sz w:val="22"/>
          <w:szCs w:val="22"/>
        </w:rPr>
        <w:t>e përgjithshme</w:t>
      </w:r>
    </w:p>
    <w:p w14:paraId="42829268" w14:textId="79C61FCE" w:rsidR="003A718E" w:rsidRPr="00DC413F" w:rsidRDefault="003A718E" w:rsidP="000D6FF2">
      <w:pPr>
        <w:tabs>
          <w:tab w:val="left" w:pos="1134"/>
        </w:tabs>
        <w:spacing w:before="240" w:after="120"/>
        <w:rPr>
          <w:b/>
        </w:rPr>
      </w:pPr>
      <w:r w:rsidRPr="00DC413F">
        <w:rPr>
          <w:b/>
        </w:rPr>
        <w:t>Neni 12 - Përgjegjësitë</w:t>
      </w:r>
    </w:p>
    <w:p w14:paraId="5603A1F8" w14:textId="2016C0E0" w:rsidR="003A718E" w:rsidRPr="000D6FF2" w:rsidRDefault="003A718E" w:rsidP="000D6FF2">
      <w:pPr>
        <w:tabs>
          <w:tab w:val="left" w:pos="567"/>
        </w:tabs>
        <w:spacing w:before="240" w:after="120"/>
        <w:ind w:left="567" w:hanging="567"/>
        <w:rPr>
          <w:sz w:val="22"/>
          <w:szCs w:val="22"/>
        </w:rPr>
      </w:pPr>
      <w:r w:rsidRPr="00B547BD">
        <w:rPr>
          <w:sz w:val="22"/>
          <w:szCs w:val="22"/>
        </w:rPr>
        <w:t xml:space="preserve"> </w:t>
      </w:r>
      <w:r w:rsidRPr="00C82886">
        <w:rPr>
          <w:b/>
        </w:rPr>
        <w:t>Neni 13 - Sigurimi</w:t>
      </w:r>
    </w:p>
    <w:p w14:paraId="5410C747" w14:textId="77777777" w:rsidR="007563C0" w:rsidRPr="00B8227D" w:rsidRDefault="007563C0" w:rsidP="00E82C1F">
      <w:pPr>
        <w:tabs>
          <w:tab w:val="left" w:pos="1134"/>
        </w:tabs>
        <w:spacing w:before="240" w:after="120"/>
        <w:ind w:left="1134" w:hanging="1134"/>
        <w:rPr>
          <w:b/>
        </w:rPr>
      </w:pPr>
      <w:r w:rsidRPr="00B8227D">
        <w:rPr>
          <w:b/>
        </w:rPr>
        <w:t xml:space="preserve">Neni 19 </w:t>
      </w:r>
      <w:r w:rsidRPr="00B8227D">
        <w:rPr>
          <w:b/>
        </w:rPr>
        <w:tab/>
        <w:t>Zbatimi i detyrave dhe vonesat</w:t>
      </w:r>
    </w:p>
    <w:p w14:paraId="22B9DED0" w14:textId="00853941" w:rsidR="007563C0" w:rsidRDefault="007563C0" w:rsidP="00586E35">
      <w:pPr>
        <w:spacing w:after="0"/>
        <w:ind w:left="567" w:hanging="567"/>
        <w:rPr>
          <w:sz w:val="22"/>
          <w:szCs w:val="22"/>
        </w:rPr>
      </w:pPr>
      <w:r w:rsidRPr="00B547BD">
        <w:rPr>
          <w:sz w:val="22"/>
          <w:szCs w:val="22"/>
        </w:rPr>
        <w:t xml:space="preserve">19.1 </w:t>
      </w:r>
      <w:r w:rsidRPr="00B547BD">
        <w:rPr>
          <w:b/>
          <w:sz w:val="22"/>
          <w:szCs w:val="22"/>
        </w:rPr>
        <w:tab/>
      </w:r>
      <w:r w:rsidR="000D6FF2">
        <w:t>Data e fillimit të zbatimit do të jetë data e nënshkrimit të kontratës nga të dyja palët.</w:t>
      </w:r>
    </w:p>
    <w:p w14:paraId="4FA59A3E" w14:textId="7E967FA8" w:rsidR="007563C0" w:rsidRPr="00B547BD" w:rsidRDefault="007563C0" w:rsidP="000D6FF2">
      <w:pPr>
        <w:spacing w:after="0"/>
        <w:ind w:left="567" w:hanging="567"/>
        <w:rPr>
          <w:sz w:val="22"/>
          <w:szCs w:val="22"/>
        </w:rPr>
      </w:pPr>
    </w:p>
    <w:p w14:paraId="74B11961" w14:textId="77777777" w:rsidR="00581574" w:rsidRPr="00581574" w:rsidRDefault="007563C0" w:rsidP="00581574">
      <w:pPr>
        <w:spacing w:beforeAutospacing="1" w:afterAutospacing="1"/>
        <w:rPr>
          <w:szCs w:val="24"/>
          <w:lang w:val="en-US" w:eastAsia="en-US"/>
        </w:rPr>
      </w:pPr>
      <w:r w:rsidRPr="00B547BD">
        <w:rPr>
          <w:sz w:val="22"/>
          <w:szCs w:val="22"/>
        </w:rPr>
        <w:t xml:space="preserve">19.2 </w:t>
      </w:r>
      <w:r w:rsidRPr="00B547BD">
        <w:rPr>
          <w:sz w:val="22"/>
          <w:szCs w:val="22"/>
        </w:rPr>
        <w:tab/>
      </w:r>
      <w:r w:rsidR="00581574" w:rsidRPr="00581574">
        <w:rPr>
          <w:bCs/>
          <w:szCs w:val="24"/>
          <w:lang w:val="en-US" w:eastAsia="en-US"/>
        </w:rPr>
        <w:t>Nga data e nënshkrimit të kontratës deri në përfundimin e zbatimit të Projektit SPICE dhe mbylljen e të gjitha detyrimeve të raportimit.</w:t>
      </w:r>
    </w:p>
    <w:p w14:paraId="1F1B1DB5" w14:textId="492791ED" w:rsidR="00B8227D" w:rsidRPr="000D6FF2" w:rsidRDefault="00B8227D" w:rsidP="008F222F">
      <w:pPr>
        <w:spacing w:after="120"/>
        <w:ind w:left="567" w:hanging="567"/>
        <w:rPr>
          <w:color w:val="000000"/>
          <w:sz w:val="22"/>
          <w:szCs w:val="22"/>
        </w:rPr>
      </w:pPr>
    </w:p>
    <w:p w14:paraId="6E4F72C8" w14:textId="77777777" w:rsidR="009642E7" w:rsidRPr="00B8227D" w:rsidRDefault="00A1628E" w:rsidP="008F222F">
      <w:pPr>
        <w:keepNext/>
        <w:keepLines/>
        <w:tabs>
          <w:tab w:val="left" w:pos="1134"/>
        </w:tabs>
        <w:spacing w:before="240" w:after="120"/>
        <w:ind w:left="1134" w:hanging="1134"/>
        <w:rPr>
          <w:b/>
        </w:rPr>
      </w:pPr>
      <w:r w:rsidRPr="00B8227D">
        <w:rPr>
          <w:b/>
        </w:rPr>
        <w:t xml:space="preserve">Neni 26 </w:t>
      </w:r>
      <w:r w:rsidRPr="00B8227D">
        <w:rPr>
          <w:b/>
        </w:rPr>
        <w:tab/>
      </w:r>
      <w:r w:rsidR="00EF3B57" w:rsidRPr="00B8227D">
        <w:rPr>
          <w:b/>
        </w:rPr>
        <w:t>Raportet e ndërmjetme dhe përfundimtare</w:t>
      </w:r>
      <w:bookmarkEnd w:id="0"/>
    </w:p>
    <w:p w14:paraId="78F34E2D" w14:textId="77777777" w:rsidR="009642E7" w:rsidRPr="0036136C" w:rsidRDefault="009642E7" w:rsidP="00B547BD">
      <w:pPr>
        <w:spacing w:after="120"/>
        <w:ind w:left="567"/>
        <w:rPr>
          <w:sz w:val="22"/>
          <w:szCs w:val="22"/>
        </w:rPr>
      </w:pPr>
      <w:r w:rsidRPr="0036136C">
        <w:rPr>
          <w:sz w:val="22"/>
          <w:szCs w:val="22"/>
        </w:rPr>
        <w:t>Kontraktori duhet të paraqesë raportet e progresit siç specifikohet në termat e referencës.</w:t>
      </w:r>
    </w:p>
    <w:p w14:paraId="290B075D" w14:textId="77777777" w:rsidR="00B252A4" w:rsidRPr="00B8227D" w:rsidRDefault="00B252A4" w:rsidP="008F222F">
      <w:pPr>
        <w:keepNext/>
        <w:keepLines/>
        <w:tabs>
          <w:tab w:val="left" w:pos="1134"/>
        </w:tabs>
        <w:spacing w:before="240" w:after="120"/>
        <w:ind w:left="1134" w:hanging="1134"/>
        <w:rPr>
          <w:b/>
        </w:rPr>
      </w:pPr>
      <w:r w:rsidRPr="00B8227D">
        <w:rPr>
          <w:b/>
        </w:rPr>
        <w:t xml:space="preserve">Neni 27 </w:t>
      </w:r>
      <w:r w:rsidRPr="00B8227D">
        <w:rPr>
          <w:b/>
        </w:rPr>
        <w:tab/>
        <w:t xml:space="preserve">Miratimi i </w:t>
      </w:r>
      <w:r w:rsidR="00D72E94">
        <w:rPr>
          <w:b/>
        </w:rPr>
        <w:t>raporteve dhe dokumenteve</w:t>
      </w:r>
    </w:p>
    <w:p w14:paraId="27264DBC" w14:textId="359530F4" w:rsidR="00B252A4" w:rsidRPr="000D6FF2" w:rsidRDefault="00B252A4" w:rsidP="004443F8">
      <w:pPr>
        <w:pStyle w:val="ListNumber"/>
        <w:numPr>
          <w:ilvl w:val="0"/>
          <w:numId w:val="0"/>
        </w:numPr>
        <w:spacing w:after="120"/>
        <w:ind w:left="567" w:hanging="567"/>
        <w:rPr>
          <w:sz w:val="22"/>
          <w:szCs w:val="22"/>
        </w:rPr>
      </w:pPr>
      <w:r w:rsidRPr="0036136C">
        <w:rPr>
          <w:sz w:val="22"/>
          <w:szCs w:val="22"/>
        </w:rPr>
        <w:t>27.5</w:t>
      </w:r>
      <w:r w:rsidR="00B8227D">
        <w:rPr>
          <w:sz w:val="22"/>
          <w:szCs w:val="22"/>
        </w:rPr>
        <w:tab/>
      </w:r>
    </w:p>
    <w:p w14:paraId="0380DBB3" w14:textId="4939B5CE" w:rsidR="00B252A4" w:rsidRDefault="00B252A4" w:rsidP="00B8227D">
      <w:pPr>
        <w:pStyle w:val="ListNumber"/>
        <w:numPr>
          <w:ilvl w:val="0"/>
          <w:numId w:val="0"/>
        </w:numPr>
        <w:spacing w:after="120"/>
        <w:ind w:left="567"/>
        <w:rPr>
          <w:sz w:val="22"/>
          <w:szCs w:val="22"/>
        </w:rPr>
      </w:pPr>
      <w:r w:rsidRPr="000D6FF2">
        <w:rPr>
          <w:sz w:val="22"/>
          <w:szCs w:val="22"/>
        </w:rPr>
        <w:t xml:space="preserve">Autoriteti kontraktor, brenda 45 ditëve nga marrja, duhet të njoftojë kontraktorin për vendimin e tij në lidhje me dokumentet ose raportet e marra prej tij, duke dhënë arsyet nëse i refuzon raportet ose dokumentet, ose kërkon ndryshime. Nëse autoriteti kontraktor nuk jep ndonjë koment mbi dokumentet ose raportet brenda afatit kohor, kontraktori mund të kërkojë </w:t>
      </w:r>
      <w:r w:rsidRPr="000D6FF2">
        <w:rPr>
          <w:sz w:val="22"/>
          <w:szCs w:val="22"/>
        </w:rPr>
        <w:lastRenderedPageBreak/>
        <w:t xml:space="preserve">pranimin e tyre me shkrim. Dokumentet ose raportet në çdo rast do të konsiderohen të miratuara nga </w:t>
      </w:r>
      <w:r w:rsidR="00C559EF" w:rsidRPr="000D6FF2">
        <w:rPr>
          <w:sz w:val="22"/>
          <w:szCs w:val="22"/>
        </w:rPr>
        <w:t>autoriteti kontraktor nëse nuk e informon shprehimisht kontraktorin për ndonjë koment brenda 45 ditëve nga marrja e dokumenteve ose raporteve.</w:t>
      </w:r>
    </w:p>
    <w:p w14:paraId="01791090" w14:textId="77777777" w:rsidR="00694695" w:rsidRPr="00586E35" w:rsidRDefault="00694695" w:rsidP="0023063F">
      <w:pPr>
        <w:pStyle w:val="ListNumber"/>
        <w:numPr>
          <w:ilvl w:val="0"/>
          <w:numId w:val="0"/>
        </w:numPr>
        <w:tabs>
          <w:tab w:val="left" w:pos="1134"/>
        </w:tabs>
        <w:spacing w:after="120"/>
        <w:ind w:left="709" w:hanging="709"/>
        <w:rPr>
          <w:b/>
          <w:lang w:eastAsia="en-GB"/>
        </w:rPr>
      </w:pPr>
      <w:r w:rsidRPr="00586E35">
        <w:rPr>
          <w:b/>
          <w:lang w:eastAsia="en-GB"/>
        </w:rPr>
        <w:t xml:space="preserve">Neni 28 </w:t>
      </w:r>
      <w:r w:rsidRPr="00586E35">
        <w:rPr>
          <w:b/>
          <w:lang w:eastAsia="en-GB"/>
        </w:rPr>
        <w:tab/>
        <w:t>Verifikimi i shpenzimeve</w:t>
      </w:r>
    </w:p>
    <w:p w14:paraId="04DE5F61" w14:textId="77777777" w:rsidR="009642E7" w:rsidRPr="00B8227D" w:rsidRDefault="00A1628E" w:rsidP="004443F8">
      <w:pPr>
        <w:keepNext/>
        <w:keepLines/>
        <w:tabs>
          <w:tab w:val="left" w:pos="1134"/>
        </w:tabs>
        <w:spacing w:before="240" w:after="120"/>
        <w:ind w:left="1134" w:hanging="1134"/>
        <w:rPr>
          <w:b/>
        </w:rPr>
      </w:pPr>
      <w:r w:rsidRPr="00B8227D">
        <w:rPr>
          <w:b/>
        </w:rPr>
        <w:t xml:space="preserve">Neni 29 </w:t>
      </w:r>
      <w:r w:rsidRPr="00B8227D">
        <w:rPr>
          <w:b/>
        </w:rPr>
        <w:tab/>
      </w:r>
      <w:r w:rsidR="009642E7" w:rsidRPr="00B8227D">
        <w:rPr>
          <w:b/>
        </w:rPr>
        <w:t>Pagesa dhe kamata për pagesë të vonuar</w:t>
      </w:r>
    </w:p>
    <w:p w14:paraId="61FDCD3D" w14:textId="77777777" w:rsidR="00B8227D" w:rsidRDefault="00A1628E" w:rsidP="004443F8">
      <w:pPr>
        <w:keepNext/>
        <w:keepLines/>
        <w:spacing w:after="120"/>
        <w:ind w:left="567" w:hanging="567"/>
        <w:rPr>
          <w:sz w:val="22"/>
          <w:szCs w:val="22"/>
          <w:highlight w:val="yellow"/>
        </w:rPr>
      </w:pPr>
      <w:r w:rsidRPr="0036136C">
        <w:rPr>
          <w:sz w:val="22"/>
          <w:szCs w:val="22"/>
        </w:rPr>
        <w:t xml:space="preserve">29.1 </w:t>
      </w:r>
      <w:r w:rsidR="009642E7" w:rsidRPr="0036136C">
        <w:rPr>
          <w:sz w:val="22"/>
          <w:szCs w:val="22"/>
        </w:rPr>
        <w:tab/>
      </w:r>
      <w:r w:rsidR="00EF3B57" w:rsidRPr="0036136C">
        <w:rPr>
          <w:sz w:val="22"/>
          <w:szCs w:val="22"/>
        </w:rPr>
        <w:t>Pagesat do të bëhen në përputhje me opsionin e mëposhtëm:</w:t>
      </w:r>
      <w:r w:rsidR="00B8227D" w:rsidRPr="0036136C">
        <w:rPr>
          <w:sz w:val="22"/>
          <w:szCs w:val="22"/>
          <w:highlight w:val="yellow"/>
        </w:rPr>
        <w:t xml:space="preserve"> </w:t>
      </w:r>
    </w:p>
    <w:p w14:paraId="60B779CF" w14:textId="127B8420" w:rsidR="009642E7" w:rsidRPr="0036136C" w:rsidRDefault="009642E7" w:rsidP="00B8227D">
      <w:pPr>
        <w:keepNext/>
        <w:keepLines/>
        <w:ind w:left="567"/>
        <w:rPr>
          <w:sz w:val="22"/>
          <w:szCs w:val="22"/>
        </w:rPr>
      </w:pPr>
    </w:p>
    <w:tbl>
      <w:tblPr>
        <w:tblW w:w="8250"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076"/>
        <w:gridCol w:w="4594"/>
        <w:gridCol w:w="2580"/>
      </w:tblGrid>
      <w:tr w:rsidR="009642E7" w:rsidRPr="0036136C" w14:paraId="01360A03" w14:textId="77777777" w:rsidTr="00B547BD">
        <w:trPr>
          <w:trHeight w:val="334"/>
        </w:trPr>
        <w:tc>
          <w:tcPr>
            <w:tcW w:w="1076" w:type="dxa"/>
          </w:tcPr>
          <w:p w14:paraId="79C8D7DB" w14:textId="77777777" w:rsidR="009642E7" w:rsidRPr="0036136C" w:rsidRDefault="009642E7" w:rsidP="00212B1D">
            <w:pPr>
              <w:spacing w:before="40" w:after="40"/>
              <w:ind w:right="-25"/>
              <w:jc w:val="center"/>
              <w:rPr>
                <w:b/>
                <w:sz w:val="22"/>
                <w:szCs w:val="22"/>
              </w:rPr>
            </w:pPr>
            <w:r w:rsidRPr="0036136C">
              <w:rPr>
                <w:b/>
                <w:sz w:val="22"/>
                <w:szCs w:val="22"/>
              </w:rPr>
              <w:t>Muaji</w:t>
            </w:r>
          </w:p>
        </w:tc>
        <w:tc>
          <w:tcPr>
            <w:tcW w:w="4594" w:type="dxa"/>
          </w:tcPr>
          <w:p w14:paraId="290DEEB6" w14:textId="77777777" w:rsidR="009642E7" w:rsidRPr="0036136C" w:rsidRDefault="009642E7" w:rsidP="00212B1D">
            <w:pPr>
              <w:spacing w:before="40" w:after="40"/>
              <w:rPr>
                <w:b/>
                <w:sz w:val="22"/>
                <w:szCs w:val="22"/>
              </w:rPr>
            </w:pPr>
          </w:p>
        </w:tc>
        <w:tc>
          <w:tcPr>
            <w:tcW w:w="2580" w:type="dxa"/>
          </w:tcPr>
          <w:p w14:paraId="168B833A" w14:textId="741CFB57" w:rsidR="009642E7" w:rsidRPr="0036136C" w:rsidRDefault="003B00B1" w:rsidP="003B00B1">
            <w:pPr>
              <w:spacing w:before="40" w:after="40"/>
              <w:jc w:val="center"/>
              <w:rPr>
                <w:b/>
                <w:sz w:val="22"/>
                <w:szCs w:val="22"/>
              </w:rPr>
            </w:pPr>
            <w:r>
              <w:rPr>
                <w:b/>
                <w:sz w:val="22"/>
                <w:szCs w:val="22"/>
              </w:rPr>
              <w:t>24</w:t>
            </w:r>
          </w:p>
        </w:tc>
      </w:tr>
      <w:tr w:rsidR="009642E7" w:rsidRPr="0036136C" w14:paraId="5A8994BC" w14:textId="77777777" w:rsidTr="00B547BD">
        <w:trPr>
          <w:trHeight w:val="787"/>
        </w:trPr>
        <w:tc>
          <w:tcPr>
            <w:tcW w:w="1076" w:type="dxa"/>
          </w:tcPr>
          <w:p w14:paraId="112AC293" w14:textId="77777777" w:rsidR="009642E7" w:rsidRPr="0036136C" w:rsidRDefault="009642E7" w:rsidP="00212B1D">
            <w:pPr>
              <w:spacing w:before="40" w:after="40"/>
              <w:ind w:right="-25"/>
              <w:jc w:val="center"/>
              <w:rPr>
                <w:b/>
                <w:sz w:val="22"/>
                <w:szCs w:val="22"/>
              </w:rPr>
            </w:pPr>
            <w:r w:rsidRPr="0036136C">
              <w:rPr>
                <w:b/>
                <w:sz w:val="22"/>
                <w:szCs w:val="22"/>
              </w:rPr>
              <w:t>1</w:t>
            </w:r>
          </w:p>
        </w:tc>
        <w:tc>
          <w:tcPr>
            <w:tcW w:w="4594" w:type="dxa"/>
          </w:tcPr>
          <w:p w14:paraId="30773EB2" w14:textId="77777777" w:rsidR="009642E7" w:rsidRPr="0036136C" w:rsidRDefault="009207C4" w:rsidP="004F3059">
            <w:pPr>
              <w:spacing w:before="40" w:after="40"/>
              <w:rPr>
                <w:b/>
                <w:sz w:val="22"/>
                <w:szCs w:val="22"/>
              </w:rPr>
            </w:pPr>
            <w:r>
              <w:rPr>
                <w:b/>
                <w:sz w:val="22"/>
                <w:szCs w:val="22"/>
              </w:rPr>
              <w:t>Pagesa maksimale e parafinancimit</w:t>
            </w:r>
            <w:r w:rsidR="00533BD1" w:rsidRPr="0036136C">
              <w:rPr>
                <w:rStyle w:val="FootnoteReference"/>
                <w:rFonts w:ascii="Times New Roman" w:hAnsi="Times New Roman"/>
              </w:rPr>
              <w:footnoteReference w:id="4"/>
            </w:r>
          </w:p>
        </w:tc>
        <w:tc>
          <w:tcPr>
            <w:tcW w:w="2580" w:type="dxa"/>
          </w:tcPr>
          <w:p w14:paraId="2E179A5C" w14:textId="3FDFE822" w:rsidR="00533BD1" w:rsidRPr="0036136C" w:rsidRDefault="003B00B1" w:rsidP="003B00B1">
            <w:pPr>
              <w:spacing w:before="40" w:after="40"/>
              <w:jc w:val="center"/>
              <w:rPr>
                <w:sz w:val="22"/>
                <w:szCs w:val="22"/>
              </w:rPr>
            </w:pPr>
            <w:r>
              <w:rPr>
                <w:sz w:val="22"/>
                <w:szCs w:val="22"/>
              </w:rPr>
              <w:t>40%</w:t>
            </w:r>
          </w:p>
        </w:tc>
      </w:tr>
      <w:tr w:rsidR="009642E7" w:rsidRPr="003B00B1" w14:paraId="4934FB8E" w14:textId="77777777" w:rsidTr="00B547BD">
        <w:trPr>
          <w:trHeight w:val="887"/>
        </w:trPr>
        <w:tc>
          <w:tcPr>
            <w:tcW w:w="1076" w:type="dxa"/>
          </w:tcPr>
          <w:p w14:paraId="6B1BDDEA" w14:textId="77777777" w:rsidR="009642E7" w:rsidRPr="003B00B1" w:rsidRDefault="008570F7" w:rsidP="00212B1D">
            <w:pPr>
              <w:spacing w:before="40" w:after="40"/>
              <w:ind w:right="-25"/>
              <w:jc w:val="center"/>
              <w:rPr>
                <w:b/>
                <w:sz w:val="22"/>
                <w:szCs w:val="22"/>
              </w:rPr>
            </w:pPr>
            <w:r w:rsidRPr="003B00B1">
              <w:rPr>
                <w:b/>
                <w:sz w:val="22"/>
                <w:szCs w:val="22"/>
              </w:rPr>
              <w:t>6-mujor</w:t>
            </w:r>
          </w:p>
        </w:tc>
        <w:tc>
          <w:tcPr>
            <w:tcW w:w="4594" w:type="dxa"/>
          </w:tcPr>
          <w:p w14:paraId="271D503F" w14:textId="77777777" w:rsidR="009642E7" w:rsidRPr="003B00B1" w:rsidRDefault="006A3247" w:rsidP="00212B1D">
            <w:pPr>
              <w:spacing w:before="40" w:after="40"/>
              <w:jc w:val="left"/>
              <w:rPr>
                <w:b/>
                <w:sz w:val="22"/>
                <w:szCs w:val="22"/>
              </w:rPr>
            </w:pPr>
            <w:r w:rsidRPr="003B00B1">
              <w:rPr>
                <w:b/>
                <w:sz w:val="22"/>
                <w:szCs w:val="22"/>
              </w:rPr>
              <w:t>Pagesat e ndërmjetme</w:t>
            </w:r>
          </w:p>
        </w:tc>
        <w:tc>
          <w:tcPr>
            <w:tcW w:w="2580" w:type="dxa"/>
          </w:tcPr>
          <w:p w14:paraId="2A9C4CA4" w14:textId="77777777" w:rsidR="009642E7" w:rsidRPr="003B00B1" w:rsidRDefault="009642E7" w:rsidP="00212B1D">
            <w:pPr>
              <w:spacing w:before="40" w:after="40"/>
              <w:jc w:val="center"/>
              <w:rPr>
                <w:sz w:val="22"/>
                <w:szCs w:val="22"/>
              </w:rPr>
            </w:pPr>
            <w:r w:rsidRPr="003B00B1">
              <w:rPr>
                <w:sz w:val="22"/>
                <w:szCs w:val="22"/>
              </w:rPr>
              <w:t>&lt;shuma (bilanci i pagesës së parafinancimit dhe bilanci i parashikuar)&gt;</w:t>
            </w:r>
          </w:p>
        </w:tc>
      </w:tr>
      <w:tr w:rsidR="009642E7" w:rsidRPr="003B00B1" w14:paraId="5C0F68CA" w14:textId="77777777" w:rsidTr="00B547BD">
        <w:trPr>
          <w:trHeight w:val="687"/>
        </w:trPr>
        <w:tc>
          <w:tcPr>
            <w:tcW w:w="1076" w:type="dxa"/>
            <w:tcBorders>
              <w:bottom w:val="nil"/>
            </w:tcBorders>
          </w:tcPr>
          <w:p w14:paraId="10A35779" w14:textId="77777777" w:rsidR="009642E7" w:rsidRPr="003B00B1" w:rsidRDefault="009642E7" w:rsidP="00212B1D">
            <w:pPr>
              <w:spacing w:before="40" w:after="40"/>
              <w:ind w:right="-25"/>
              <w:jc w:val="center"/>
              <w:rPr>
                <w:b/>
                <w:sz w:val="22"/>
                <w:szCs w:val="22"/>
              </w:rPr>
            </w:pPr>
            <w:r w:rsidRPr="003B00B1">
              <w:rPr>
                <w:b/>
                <w:sz w:val="22"/>
                <w:szCs w:val="22"/>
              </w:rPr>
              <w:t>&lt;Numri i muajit&gt;</w:t>
            </w:r>
          </w:p>
        </w:tc>
        <w:tc>
          <w:tcPr>
            <w:tcW w:w="4594" w:type="dxa"/>
            <w:tcBorders>
              <w:bottom w:val="nil"/>
            </w:tcBorders>
          </w:tcPr>
          <w:p w14:paraId="655F6B1C" w14:textId="77777777" w:rsidR="009642E7" w:rsidRPr="003B00B1" w:rsidRDefault="009642E7" w:rsidP="00212B1D">
            <w:pPr>
              <w:spacing w:before="40" w:after="40"/>
              <w:rPr>
                <w:b/>
                <w:sz w:val="22"/>
                <w:szCs w:val="22"/>
              </w:rPr>
            </w:pPr>
            <w:r w:rsidRPr="003B00B1">
              <w:rPr>
                <w:b/>
                <w:sz w:val="22"/>
                <w:szCs w:val="22"/>
              </w:rPr>
              <w:t>Bilanci i parashikuar</w:t>
            </w:r>
          </w:p>
        </w:tc>
        <w:tc>
          <w:tcPr>
            <w:tcW w:w="2580" w:type="dxa"/>
            <w:tcBorders>
              <w:bottom w:val="nil"/>
            </w:tcBorders>
          </w:tcPr>
          <w:p w14:paraId="189D0D2E" w14:textId="77777777" w:rsidR="009642E7" w:rsidRPr="003B00B1" w:rsidRDefault="008570F7" w:rsidP="00212B1D">
            <w:pPr>
              <w:spacing w:after="0"/>
              <w:jc w:val="center"/>
              <w:rPr>
                <w:sz w:val="22"/>
                <w:szCs w:val="22"/>
              </w:rPr>
            </w:pPr>
            <w:r w:rsidRPr="003B00B1">
              <w:rPr>
                <w:sz w:val="22"/>
                <w:szCs w:val="22"/>
              </w:rPr>
              <w:t>10</w:t>
            </w:r>
            <w:r w:rsidR="00CF0319" w:rsidRPr="003B00B1">
              <w:rPr>
                <w:w w:val="50"/>
                <w:sz w:val="22"/>
                <w:szCs w:val="22"/>
              </w:rPr>
              <w:t> </w:t>
            </w:r>
            <w:r w:rsidRPr="003B00B1">
              <w:rPr>
                <w:sz w:val="22"/>
                <w:szCs w:val="22"/>
              </w:rPr>
              <w:t>% e vlerës maksimale të kontratës</w:t>
            </w:r>
          </w:p>
        </w:tc>
      </w:tr>
      <w:tr w:rsidR="009642E7" w:rsidRPr="003B00B1" w14:paraId="5868E81E" w14:textId="77777777" w:rsidTr="00B547BD">
        <w:trPr>
          <w:trHeight w:val="569"/>
        </w:trPr>
        <w:tc>
          <w:tcPr>
            <w:tcW w:w="1076" w:type="dxa"/>
            <w:tcBorders>
              <w:top w:val="dotted" w:sz="4" w:space="0" w:color="auto"/>
              <w:bottom w:val="single" w:sz="4" w:space="0" w:color="auto"/>
            </w:tcBorders>
            <w:shd w:val="pct10" w:color="auto" w:fill="FFFFFF"/>
          </w:tcPr>
          <w:p w14:paraId="5633E75F" w14:textId="77777777" w:rsidR="009642E7" w:rsidRPr="003B00B1" w:rsidRDefault="009642E7" w:rsidP="00212B1D">
            <w:pPr>
              <w:spacing w:before="40" w:after="40"/>
              <w:ind w:right="-25"/>
              <w:jc w:val="center"/>
              <w:rPr>
                <w:b/>
                <w:sz w:val="22"/>
                <w:szCs w:val="22"/>
              </w:rPr>
            </w:pPr>
          </w:p>
        </w:tc>
        <w:tc>
          <w:tcPr>
            <w:tcW w:w="4594" w:type="dxa"/>
            <w:tcBorders>
              <w:top w:val="dotted" w:sz="4" w:space="0" w:color="auto"/>
              <w:bottom w:val="single" w:sz="4" w:space="0" w:color="auto"/>
            </w:tcBorders>
            <w:shd w:val="pct10" w:color="auto" w:fill="FFFFFF"/>
          </w:tcPr>
          <w:p w14:paraId="2040071F" w14:textId="77777777" w:rsidR="009642E7" w:rsidRPr="003B00B1" w:rsidRDefault="009642E7" w:rsidP="00212B1D">
            <w:pPr>
              <w:spacing w:before="40" w:after="40"/>
              <w:rPr>
                <w:b/>
                <w:sz w:val="22"/>
                <w:szCs w:val="22"/>
              </w:rPr>
            </w:pPr>
            <w:r w:rsidRPr="003B00B1">
              <w:rPr>
                <w:b/>
                <w:sz w:val="22"/>
                <w:szCs w:val="22"/>
              </w:rPr>
              <w:t>Totali</w:t>
            </w:r>
          </w:p>
        </w:tc>
        <w:tc>
          <w:tcPr>
            <w:tcW w:w="2580" w:type="dxa"/>
            <w:tcBorders>
              <w:top w:val="dotted" w:sz="4" w:space="0" w:color="auto"/>
              <w:bottom w:val="single" w:sz="4" w:space="0" w:color="auto"/>
            </w:tcBorders>
            <w:shd w:val="pct10" w:color="auto" w:fill="FFFFFF"/>
          </w:tcPr>
          <w:p w14:paraId="535E0169" w14:textId="38A3A123" w:rsidR="009642E7" w:rsidRPr="003B00B1" w:rsidRDefault="009642E7" w:rsidP="00212B1D">
            <w:pPr>
              <w:spacing w:after="0"/>
              <w:jc w:val="center"/>
              <w:rPr>
                <w:sz w:val="22"/>
                <w:szCs w:val="22"/>
              </w:rPr>
            </w:pPr>
          </w:p>
        </w:tc>
      </w:tr>
    </w:tbl>
    <w:p w14:paraId="4B9DB1F8" w14:textId="77777777" w:rsidR="00A35376" w:rsidRPr="003B00B1" w:rsidRDefault="009642E7" w:rsidP="00A35376">
      <w:pPr>
        <w:spacing w:before="240"/>
        <w:ind w:left="567"/>
        <w:rPr>
          <w:sz w:val="22"/>
          <w:szCs w:val="22"/>
        </w:rPr>
      </w:pPr>
      <w:r w:rsidRPr="003B00B1">
        <w:rPr>
          <w:sz w:val="22"/>
          <w:szCs w:val="22"/>
        </w:rPr>
        <w:t>Shumat aktuale të pagueshme pas pagesës së parafinancimit do të ndryshojnë. Ato do të bazohen në faturën e kontraktorit të shoqëruar nga një raport i ndërmjetëm i progresit dhe një raport verifikimi të shpenzimeve dhe i nënshtrohen miratimit të raporteve në përputhje me Nenin 27 të kushteve të përgjithshme.</w:t>
      </w:r>
    </w:p>
    <w:p w14:paraId="7BC16695" w14:textId="77777777" w:rsidR="00A35376" w:rsidRPr="003B00B1" w:rsidRDefault="00A35376" w:rsidP="00A35376">
      <w:pPr>
        <w:spacing w:before="240"/>
        <w:ind w:left="567"/>
        <w:rPr>
          <w:sz w:val="22"/>
          <w:szCs w:val="22"/>
        </w:rPr>
      </w:pPr>
      <w:r w:rsidRPr="003B00B1">
        <w:rPr>
          <w:sz w:val="22"/>
          <w:szCs w:val="22"/>
        </w:rPr>
        <w:t>Faturat e ndërmjetme duhet të paguhen në mënyrë të tillë që shuma e pagesave të mos kalojë 90</w:t>
      </w:r>
      <w:r w:rsidRPr="003B00B1">
        <w:rPr>
          <w:w w:val="50"/>
          <w:sz w:val="22"/>
          <w:szCs w:val="22"/>
        </w:rPr>
        <w:t> </w:t>
      </w:r>
      <w:r w:rsidRPr="003B00B1">
        <w:rPr>
          <w:sz w:val="22"/>
          <w:szCs w:val="22"/>
        </w:rPr>
        <w:t>% e vlerës maksimale të kontratës të përcaktuar në Nenin (2) të kontratës. Pagesa e pjesës së mbetur të vlerës përfundimtare të kontratës, në varësi të vlerës maksimale të kontratës të përcaktuar në Nenin (2) të kontratës, bëhet pas zbritjes së shumave të paguara tashmë, brenda 90 ditëve nga marrja nga autoriteti kontraktor e një fature të shoqëruar me raportin përfundimtar të progresit dhe një raport përfundimtar të verifikimit të shpenzimeve, shpenzimet e rastësishme dhe verifikimin e shpenzimeve të kryera në të vërtetë gjatë periudhës, në varësi të miratimit të këtyre raporteve.</w:t>
      </w:r>
    </w:p>
    <w:p w14:paraId="45896D1F" w14:textId="77777777" w:rsidR="000339D4" w:rsidRPr="003B00B1" w:rsidRDefault="009642E7" w:rsidP="000339D4">
      <w:pPr>
        <w:keepNext/>
        <w:ind w:left="567"/>
        <w:rPr>
          <w:sz w:val="22"/>
          <w:szCs w:val="22"/>
        </w:rPr>
      </w:pPr>
      <w:r w:rsidRPr="003B00B1">
        <w:rPr>
          <w:sz w:val="22"/>
          <w:szCs w:val="22"/>
        </w:rPr>
        <w:lastRenderedPageBreak/>
        <w:t>Opsioni 2: Kontratë me çmim global</w:t>
      </w:r>
    </w:p>
    <w:p w14:paraId="442C1601" w14:textId="77777777" w:rsidR="001930F1" w:rsidRPr="003B00B1" w:rsidRDefault="001930F1" w:rsidP="000339D4">
      <w:pPr>
        <w:keepNext/>
        <w:ind w:left="567"/>
        <w:rPr>
          <w:sz w:val="22"/>
          <w:szCs w:val="22"/>
        </w:rPr>
      </w:pPr>
    </w:p>
    <w:tbl>
      <w:tblPr>
        <w:tblW w:w="8505"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835"/>
      </w:tblGrid>
      <w:tr w:rsidR="009642E7" w:rsidRPr="00722FF9" w14:paraId="4CAEE398" w14:textId="77777777" w:rsidTr="00722FF9">
        <w:trPr>
          <w:cantSplit/>
          <w:trHeight w:val="345"/>
        </w:trPr>
        <w:tc>
          <w:tcPr>
            <w:tcW w:w="1134" w:type="dxa"/>
          </w:tcPr>
          <w:p w14:paraId="6A54F2BC" w14:textId="77777777" w:rsidR="009642E7" w:rsidRPr="003B00B1" w:rsidRDefault="009642E7">
            <w:pPr>
              <w:keepNext/>
              <w:spacing w:before="40" w:after="40"/>
              <w:jc w:val="center"/>
              <w:rPr>
                <w:b/>
                <w:sz w:val="22"/>
                <w:szCs w:val="22"/>
              </w:rPr>
            </w:pPr>
            <w:r w:rsidRPr="003B00B1">
              <w:rPr>
                <w:b/>
                <w:sz w:val="22"/>
                <w:szCs w:val="22"/>
              </w:rPr>
              <w:t>Muaji</w:t>
            </w:r>
          </w:p>
        </w:tc>
        <w:tc>
          <w:tcPr>
            <w:tcW w:w="4536" w:type="dxa"/>
          </w:tcPr>
          <w:p w14:paraId="57F11659" w14:textId="77777777" w:rsidR="009642E7" w:rsidRPr="003B00B1" w:rsidRDefault="009642E7">
            <w:pPr>
              <w:keepNext/>
              <w:spacing w:before="40" w:after="40"/>
              <w:rPr>
                <w:b/>
                <w:sz w:val="22"/>
                <w:szCs w:val="22"/>
              </w:rPr>
            </w:pPr>
          </w:p>
        </w:tc>
        <w:tc>
          <w:tcPr>
            <w:tcW w:w="2835" w:type="dxa"/>
          </w:tcPr>
          <w:p w14:paraId="56F33E6E" w14:textId="77777777" w:rsidR="009642E7" w:rsidRPr="003B00B1" w:rsidRDefault="006D5617">
            <w:pPr>
              <w:keepNext/>
              <w:spacing w:before="40" w:after="40"/>
              <w:jc w:val="center"/>
              <w:rPr>
                <w:b/>
                <w:sz w:val="22"/>
                <w:szCs w:val="22"/>
              </w:rPr>
            </w:pPr>
            <w:r w:rsidRPr="003B00B1">
              <w:rPr>
                <w:b/>
                <w:sz w:val="22"/>
                <w:szCs w:val="22"/>
              </w:rPr>
              <w:t>[EUR] [&lt;kodi ISO i monedhës kombëtare&gt; vetëm për menaxhim indirekt]</w:t>
            </w:r>
          </w:p>
        </w:tc>
      </w:tr>
      <w:tr w:rsidR="009642E7" w:rsidRPr="003B00B1" w14:paraId="5EFF9A61" w14:textId="77777777" w:rsidTr="00722FF9">
        <w:trPr>
          <w:cantSplit/>
          <w:trHeight w:val="693"/>
        </w:trPr>
        <w:tc>
          <w:tcPr>
            <w:tcW w:w="1134" w:type="dxa"/>
          </w:tcPr>
          <w:p w14:paraId="6C5E0BB1" w14:textId="77777777" w:rsidR="009642E7" w:rsidRPr="003B00B1" w:rsidRDefault="009642E7">
            <w:pPr>
              <w:keepNext/>
              <w:spacing w:before="40" w:after="40"/>
              <w:jc w:val="center"/>
              <w:rPr>
                <w:b/>
                <w:sz w:val="22"/>
                <w:szCs w:val="22"/>
              </w:rPr>
            </w:pPr>
            <w:r w:rsidRPr="003B00B1">
              <w:rPr>
                <w:b/>
                <w:sz w:val="22"/>
                <w:szCs w:val="22"/>
              </w:rPr>
              <w:t>1</w:t>
            </w:r>
          </w:p>
        </w:tc>
        <w:tc>
          <w:tcPr>
            <w:tcW w:w="4536" w:type="dxa"/>
          </w:tcPr>
          <w:p w14:paraId="6EF37E75" w14:textId="77777777" w:rsidR="009642E7" w:rsidRPr="003B00B1" w:rsidRDefault="009207C4" w:rsidP="004F3059">
            <w:pPr>
              <w:keepNext/>
              <w:spacing w:before="40" w:after="40"/>
              <w:rPr>
                <w:b/>
                <w:sz w:val="22"/>
                <w:szCs w:val="22"/>
              </w:rPr>
            </w:pPr>
            <w:r w:rsidRPr="003B00B1">
              <w:rPr>
                <w:b/>
                <w:sz w:val="22"/>
                <w:szCs w:val="22"/>
              </w:rPr>
              <w:t>Pagesa maksimale e parafinancimit</w:t>
            </w:r>
            <w:r w:rsidR="00894E32" w:rsidRPr="003B00B1">
              <w:rPr>
                <w:rStyle w:val="FootnoteReference"/>
                <w:rFonts w:ascii="Times New Roman" w:hAnsi="Times New Roman"/>
              </w:rPr>
              <w:footnoteReference w:id="5"/>
            </w:r>
          </w:p>
        </w:tc>
        <w:tc>
          <w:tcPr>
            <w:tcW w:w="2835" w:type="dxa"/>
          </w:tcPr>
          <w:p w14:paraId="0E4743C5" w14:textId="77777777" w:rsidR="009642E7" w:rsidRPr="003B00B1" w:rsidRDefault="009642E7">
            <w:pPr>
              <w:keepNext/>
              <w:spacing w:before="40" w:after="40"/>
              <w:jc w:val="center"/>
              <w:rPr>
                <w:sz w:val="22"/>
                <w:szCs w:val="22"/>
              </w:rPr>
            </w:pPr>
            <w:r w:rsidRPr="003B00B1">
              <w:rPr>
                <w:sz w:val="22"/>
                <w:szCs w:val="22"/>
              </w:rPr>
              <w:t>&lt;Maks. 40</w:t>
            </w:r>
            <w:r w:rsidR="00CF0319" w:rsidRPr="003B00B1">
              <w:rPr>
                <w:w w:val="50"/>
                <w:sz w:val="22"/>
                <w:szCs w:val="22"/>
              </w:rPr>
              <w:t> </w:t>
            </w:r>
            <w:r w:rsidRPr="003B00B1">
              <w:rPr>
                <w:sz w:val="22"/>
                <w:szCs w:val="22"/>
              </w:rPr>
              <w:t>% e vlerës së kontratës&gt;</w:t>
            </w:r>
          </w:p>
        </w:tc>
      </w:tr>
      <w:tr w:rsidR="00A1628E" w:rsidRPr="003B00B1" w14:paraId="37567447" w14:textId="77777777" w:rsidTr="00722FF9">
        <w:trPr>
          <w:cantSplit/>
          <w:trHeight w:val="831"/>
        </w:trPr>
        <w:tc>
          <w:tcPr>
            <w:tcW w:w="1134" w:type="dxa"/>
            <w:tcBorders>
              <w:bottom w:val="nil"/>
            </w:tcBorders>
          </w:tcPr>
          <w:p w14:paraId="0ED275D3" w14:textId="77777777" w:rsidR="00A1628E" w:rsidRPr="003B00B1" w:rsidRDefault="00A1628E">
            <w:pPr>
              <w:spacing w:before="40" w:after="40"/>
              <w:jc w:val="center"/>
              <w:rPr>
                <w:b/>
                <w:sz w:val="22"/>
                <w:szCs w:val="22"/>
              </w:rPr>
            </w:pPr>
            <w:r w:rsidRPr="003B00B1">
              <w:rPr>
                <w:b/>
                <w:sz w:val="22"/>
                <w:szCs w:val="22"/>
              </w:rPr>
              <w:t>&lt;Numri i muajit/vitit&gt;</w:t>
            </w:r>
          </w:p>
        </w:tc>
        <w:tc>
          <w:tcPr>
            <w:tcW w:w="4536" w:type="dxa"/>
            <w:tcBorders>
              <w:bottom w:val="nil"/>
            </w:tcBorders>
          </w:tcPr>
          <w:p w14:paraId="3AFED96C" w14:textId="77777777" w:rsidR="00A1628E" w:rsidRPr="003B00B1" w:rsidRDefault="00A1628E" w:rsidP="00A1628E">
            <w:pPr>
              <w:ind w:left="567" w:hanging="567"/>
              <w:rPr>
                <w:sz w:val="22"/>
                <w:szCs w:val="22"/>
              </w:rPr>
            </w:pPr>
            <w:r w:rsidRPr="003B00B1">
              <w:rPr>
                <w:sz w:val="22"/>
                <w:szCs w:val="22"/>
              </w:rPr>
              <w:t>[Nëse aplikohet: Pagesë e ndërmjetme]</w:t>
            </w:r>
          </w:p>
          <w:p w14:paraId="5DE7DFCC" w14:textId="77777777" w:rsidR="00A1628E" w:rsidRPr="003B00B1" w:rsidRDefault="00A1628E">
            <w:pPr>
              <w:spacing w:before="40" w:after="40"/>
              <w:rPr>
                <w:b/>
                <w:sz w:val="22"/>
                <w:szCs w:val="22"/>
              </w:rPr>
            </w:pPr>
          </w:p>
        </w:tc>
        <w:tc>
          <w:tcPr>
            <w:tcW w:w="2835" w:type="dxa"/>
            <w:tcBorders>
              <w:bottom w:val="nil"/>
            </w:tcBorders>
          </w:tcPr>
          <w:p w14:paraId="23816D9A" w14:textId="77777777" w:rsidR="00A1628E" w:rsidRPr="003B00B1" w:rsidRDefault="00A1628E">
            <w:pPr>
              <w:spacing w:after="0"/>
              <w:jc w:val="center"/>
              <w:rPr>
                <w:sz w:val="22"/>
                <w:szCs w:val="22"/>
              </w:rPr>
            </w:pPr>
            <w:r w:rsidRPr="003B00B1">
              <w:rPr>
                <w:sz w:val="22"/>
                <w:szCs w:val="22"/>
              </w:rPr>
              <w:t>&lt;X</w:t>
            </w:r>
            <w:r w:rsidRPr="003B00B1">
              <w:rPr>
                <w:w w:val="50"/>
                <w:sz w:val="22"/>
                <w:szCs w:val="22"/>
              </w:rPr>
              <w:t> </w:t>
            </w:r>
            <w:r w:rsidRPr="003B00B1">
              <w:rPr>
                <w:sz w:val="22"/>
                <w:szCs w:val="22"/>
              </w:rPr>
              <w:t>% e vlerës së kontratës&gt;</w:t>
            </w:r>
          </w:p>
        </w:tc>
      </w:tr>
      <w:tr w:rsidR="009642E7" w:rsidRPr="0036136C" w14:paraId="6E65CB31" w14:textId="77777777" w:rsidTr="00722FF9">
        <w:trPr>
          <w:cantSplit/>
          <w:trHeight w:val="814"/>
        </w:trPr>
        <w:tc>
          <w:tcPr>
            <w:tcW w:w="1134" w:type="dxa"/>
            <w:tcBorders>
              <w:bottom w:val="nil"/>
            </w:tcBorders>
          </w:tcPr>
          <w:p w14:paraId="0AB79EA3" w14:textId="77777777" w:rsidR="009642E7" w:rsidRPr="003B00B1" w:rsidRDefault="009642E7">
            <w:pPr>
              <w:spacing w:before="40" w:after="40"/>
              <w:jc w:val="center"/>
              <w:rPr>
                <w:b/>
                <w:sz w:val="22"/>
                <w:szCs w:val="22"/>
              </w:rPr>
            </w:pPr>
            <w:r w:rsidRPr="003B00B1">
              <w:rPr>
                <w:b/>
                <w:sz w:val="22"/>
                <w:szCs w:val="22"/>
              </w:rPr>
              <w:t xml:space="preserve">&lt; </w:t>
            </w:r>
            <w:r w:rsidR="00A1628E" w:rsidRPr="003B00B1">
              <w:rPr>
                <w:b/>
                <w:sz w:val="22"/>
                <w:szCs w:val="22"/>
              </w:rPr>
              <w:t>Numri i muajit / vitit&gt;</w:t>
            </w:r>
          </w:p>
        </w:tc>
        <w:tc>
          <w:tcPr>
            <w:tcW w:w="4536" w:type="dxa"/>
            <w:tcBorders>
              <w:bottom w:val="nil"/>
            </w:tcBorders>
          </w:tcPr>
          <w:p w14:paraId="414D9AB2" w14:textId="77777777" w:rsidR="009642E7" w:rsidRPr="003B00B1" w:rsidRDefault="009642E7">
            <w:pPr>
              <w:spacing w:before="40" w:after="40"/>
              <w:rPr>
                <w:b/>
                <w:sz w:val="22"/>
                <w:szCs w:val="22"/>
              </w:rPr>
            </w:pPr>
            <w:r w:rsidRPr="003B00B1">
              <w:rPr>
                <w:b/>
                <w:sz w:val="22"/>
                <w:szCs w:val="22"/>
              </w:rPr>
              <w:t>Bilanci</w:t>
            </w:r>
          </w:p>
        </w:tc>
        <w:tc>
          <w:tcPr>
            <w:tcW w:w="2835" w:type="dxa"/>
            <w:tcBorders>
              <w:bottom w:val="nil"/>
            </w:tcBorders>
          </w:tcPr>
          <w:p w14:paraId="59348371" w14:textId="77777777" w:rsidR="009642E7" w:rsidRPr="0036136C" w:rsidRDefault="009642E7">
            <w:pPr>
              <w:spacing w:after="0"/>
              <w:jc w:val="center"/>
              <w:rPr>
                <w:sz w:val="22"/>
                <w:szCs w:val="22"/>
              </w:rPr>
            </w:pPr>
            <w:r w:rsidRPr="003B00B1">
              <w:rPr>
                <w:sz w:val="22"/>
                <w:szCs w:val="22"/>
              </w:rPr>
              <w:t>&lt;Maksimumi 60</w:t>
            </w:r>
            <w:r w:rsidR="00CF0319" w:rsidRPr="003B00B1">
              <w:rPr>
                <w:w w:val="50"/>
                <w:sz w:val="22"/>
                <w:szCs w:val="22"/>
              </w:rPr>
              <w:t> </w:t>
            </w:r>
            <w:r w:rsidRPr="003B00B1">
              <w:rPr>
                <w:sz w:val="22"/>
                <w:szCs w:val="22"/>
              </w:rPr>
              <w:t>% e vlerës së kontratës&gt;</w:t>
            </w:r>
          </w:p>
          <w:p w14:paraId="4EA36BA7" w14:textId="77777777" w:rsidR="009642E7" w:rsidRPr="0036136C" w:rsidRDefault="009642E7">
            <w:pPr>
              <w:spacing w:after="0"/>
              <w:jc w:val="center"/>
              <w:rPr>
                <w:sz w:val="22"/>
                <w:szCs w:val="22"/>
              </w:rPr>
            </w:pPr>
          </w:p>
        </w:tc>
      </w:tr>
      <w:tr w:rsidR="009642E7" w:rsidRPr="0036136C" w14:paraId="7943072C" w14:textId="77777777" w:rsidTr="00722FF9">
        <w:trPr>
          <w:cantSplit/>
          <w:trHeight w:val="373"/>
        </w:trPr>
        <w:tc>
          <w:tcPr>
            <w:tcW w:w="1134" w:type="dxa"/>
            <w:tcBorders>
              <w:top w:val="dotted" w:sz="4" w:space="0" w:color="auto"/>
              <w:bottom w:val="single" w:sz="4" w:space="0" w:color="auto"/>
            </w:tcBorders>
            <w:shd w:val="pct10" w:color="auto" w:fill="FFFFFF"/>
          </w:tcPr>
          <w:p w14:paraId="52311BB9" w14:textId="77777777" w:rsidR="009642E7" w:rsidRPr="0036136C" w:rsidRDefault="009642E7">
            <w:pPr>
              <w:spacing w:before="40" w:after="40"/>
              <w:jc w:val="center"/>
              <w:rPr>
                <w:b/>
                <w:sz w:val="22"/>
                <w:szCs w:val="22"/>
              </w:rPr>
            </w:pPr>
          </w:p>
        </w:tc>
        <w:tc>
          <w:tcPr>
            <w:tcW w:w="4536" w:type="dxa"/>
            <w:tcBorders>
              <w:top w:val="dotted" w:sz="4" w:space="0" w:color="auto"/>
              <w:bottom w:val="single" w:sz="4" w:space="0" w:color="auto"/>
            </w:tcBorders>
            <w:shd w:val="pct10" w:color="auto" w:fill="FFFFFF"/>
          </w:tcPr>
          <w:p w14:paraId="41016B0A" w14:textId="77777777" w:rsidR="009642E7" w:rsidRPr="0036136C" w:rsidRDefault="009642E7">
            <w:pPr>
              <w:spacing w:before="40" w:after="40"/>
              <w:rPr>
                <w:b/>
                <w:sz w:val="22"/>
                <w:szCs w:val="22"/>
              </w:rPr>
            </w:pPr>
            <w:r w:rsidRPr="0036136C">
              <w:rPr>
                <w:b/>
                <w:sz w:val="22"/>
                <w:szCs w:val="22"/>
              </w:rPr>
              <w:t>Totali</w:t>
            </w:r>
          </w:p>
        </w:tc>
        <w:tc>
          <w:tcPr>
            <w:tcW w:w="2835" w:type="dxa"/>
            <w:tcBorders>
              <w:top w:val="dotted" w:sz="4" w:space="0" w:color="auto"/>
              <w:bottom w:val="single" w:sz="4" w:space="0" w:color="auto"/>
            </w:tcBorders>
            <w:shd w:val="pct10" w:color="auto" w:fill="FFFFFF"/>
          </w:tcPr>
          <w:p w14:paraId="6E742882" w14:textId="77777777" w:rsidR="009642E7" w:rsidRPr="00722FF9" w:rsidRDefault="009642E7">
            <w:pPr>
              <w:spacing w:after="0"/>
              <w:jc w:val="center"/>
              <w:rPr>
                <w:sz w:val="22"/>
                <w:szCs w:val="22"/>
              </w:rPr>
            </w:pPr>
            <w:r w:rsidRPr="00722FF9">
              <w:rPr>
                <w:sz w:val="22"/>
                <w:szCs w:val="22"/>
              </w:rPr>
              <w:t>&lt; Vlera totale e kontratës &gt;</w:t>
            </w:r>
          </w:p>
        </w:tc>
      </w:tr>
    </w:tbl>
    <w:p w14:paraId="1B771E3E" w14:textId="77777777" w:rsidR="00F85EAD" w:rsidRPr="003B00B1" w:rsidRDefault="00F85EAD" w:rsidP="00212B1D">
      <w:pPr>
        <w:autoSpaceDE w:val="0"/>
        <w:autoSpaceDN w:val="0"/>
        <w:adjustRightInd w:val="0"/>
        <w:spacing w:before="240"/>
        <w:ind w:left="567"/>
        <w:rPr>
          <w:sz w:val="22"/>
          <w:szCs w:val="22"/>
        </w:rPr>
      </w:pPr>
      <w:r w:rsidRPr="003B00B1">
        <w:rPr>
          <w:sz w:val="22"/>
          <w:szCs w:val="22"/>
        </w:rPr>
        <w:t>[Kontrata vetëm në menaxhim indirekt sipas buxhetit të përgjithshëm të Bashkimit: Me përjashtim, pagesat ndaj kontraktorit të shumave të duhura sipas pagesave të ndërmjetme dhe përfundimtare duhet të bëhen brenda 90 ditëve pas marrjes nga autoriteti kontraktues të një fature dhe të raporteve, me kusht miratimin e këtyre raporteve në përputhje me nenin 27 të kushteve të përgjithshme.]</w:t>
      </w:r>
    </w:p>
    <w:p w14:paraId="43D002B8" w14:textId="6ED7D6DA" w:rsidR="00F85EAD" w:rsidRPr="003B00B1" w:rsidRDefault="00F85EAD" w:rsidP="00C9543A">
      <w:pPr>
        <w:autoSpaceDE w:val="0"/>
        <w:autoSpaceDN w:val="0"/>
        <w:adjustRightInd w:val="0"/>
        <w:ind w:left="567"/>
        <w:rPr>
          <w:sz w:val="22"/>
          <w:szCs w:val="22"/>
        </w:rPr>
      </w:pPr>
      <w:r w:rsidRPr="003B00B1">
        <w:rPr>
          <w:sz w:val="22"/>
          <w:szCs w:val="22"/>
        </w:rPr>
        <w:t>Me përjashtim të kësaj, pagesa e parafinancimit duhet të bëhet brenda 90 ditëve nga data në të cilën një faturë e pranueshme regjistrohet nga autoriteti kontraktues. Pagesat e ndërmjetme dhe përfundimtare për kontraktorin e shumave të duhura duhet të bëhen brenda 90 ditëve pas miratimit të raporteve në përputhje me nenin 27 të kushteve të përgjithshme, pas marrjes nga autoriteti kontraktues të një fature të pranueshme.</w:t>
      </w:r>
    </w:p>
    <w:p w14:paraId="1E0530A7" w14:textId="5D79E32E" w:rsidR="009C5B8F" w:rsidRPr="003B00B1" w:rsidRDefault="009C5B8F" w:rsidP="00C9543A">
      <w:pPr>
        <w:autoSpaceDE w:val="0"/>
        <w:autoSpaceDN w:val="0"/>
        <w:adjustRightInd w:val="0"/>
        <w:ind w:left="567"/>
        <w:rPr>
          <w:sz w:val="22"/>
          <w:szCs w:val="22"/>
        </w:rPr>
      </w:pPr>
      <w:r w:rsidRPr="003B00B1">
        <w:rPr>
          <w:sz w:val="22"/>
          <w:szCs w:val="22"/>
        </w:rPr>
        <w:t>Me përjashtim të kësaj, pagesa e parafinancimit duhet të bëhet brenda 60 ditëve nga data në të cilën një faturë e pranueshme regjistrohet nga autoriteti kontraktues. Pagesat e ndërmjetme dhe përfundimtare për kontraktorin e shumave të duhura duhet të bëhen brenda 90 ditëve nga data në të cilën një faturë e pranueshme regjistrohet nga autoriteti kontraktues.</w:t>
      </w:r>
    </w:p>
    <w:p w14:paraId="4828280C" w14:textId="0AE6C532" w:rsidR="00A1628E" w:rsidRPr="003B00B1" w:rsidRDefault="00A1628E" w:rsidP="004443F8">
      <w:pPr>
        <w:spacing w:after="0"/>
        <w:ind w:left="567" w:hanging="567"/>
        <w:rPr>
          <w:sz w:val="22"/>
          <w:szCs w:val="22"/>
        </w:rPr>
      </w:pPr>
      <w:r w:rsidRPr="003B00B1">
        <w:rPr>
          <w:sz w:val="22"/>
          <w:szCs w:val="22"/>
        </w:rPr>
        <w:t xml:space="preserve">29.3 </w:t>
      </w:r>
      <w:r w:rsidRPr="003B00B1">
        <w:rPr>
          <w:sz w:val="22"/>
          <w:szCs w:val="22"/>
        </w:rPr>
        <w:tab/>
        <w:t>[</w:t>
      </w:r>
    </w:p>
    <w:p w14:paraId="479522BC" w14:textId="77777777" w:rsidR="00640C03" w:rsidRPr="003B00B1" w:rsidRDefault="00057077" w:rsidP="00212B1D">
      <w:pPr>
        <w:tabs>
          <w:tab w:val="left" w:pos="567"/>
        </w:tabs>
        <w:ind w:left="567"/>
        <w:rPr>
          <w:sz w:val="22"/>
          <w:szCs w:val="22"/>
        </w:rPr>
      </w:pPr>
      <w:r w:rsidRPr="003B00B1">
        <w:rPr>
          <w:sz w:val="22"/>
          <w:szCs w:val="22"/>
        </w:rPr>
        <w:t>Duke anashkaluar Nenin 29.3 të kushteve të përgjithshme, pasi të ketë skaduar afati i përcaktuar në Nenin 29.1, kontraktori, sipas kërkesës, duhet:</w:t>
      </w:r>
      <w:r w:rsidR="00A02D95" w:rsidRPr="003B00B1">
        <w:t xml:space="preserve"> </w:t>
      </w:r>
      <w:r w:rsidR="00A02D95" w:rsidRPr="003B00B1">
        <w:rPr>
          <w:sz w:val="22"/>
          <w:szCs w:val="22"/>
        </w:rPr>
        <w:t>të ketë të drejtë për interesa vonese në pagesë me normën dhe për periudhën e përmendur në kushtet e përgjithshme. Kërkesa duhet të paraqitet brenda dy muajve nga marrja e pagesës së vonuar.]</w:t>
      </w:r>
    </w:p>
    <w:p w14:paraId="3F625FFD" w14:textId="42119387" w:rsidR="00A1628E" w:rsidRPr="003B00B1" w:rsidRDefault="00A1628E" w:rsidP="004443F8">
      <w:pPr>
        <w:spacing w:after="120"/>
        <w:ind w:left="567" w:hanging="567"/>
        <w:rPr>
          <w:sz w:val="22"/>
          <w:szCs w:val="22"/>
        </w:rPr>
      </w:pPr>
      <w:r w:rsidRPr="003B00B1">
        <w:rPr>
          <w:sz w:val="22"/>
          <w:szCs w:val="22"/>
        </w:rPr>
        <w:t xml:space="preserve">29.5 </w:t>
      </w:r>
      <w:r w:rsidRPr="003B00B1">
        <w:rPr>
          <w:sz w:val="22"/>
          <w:szCs w:val="22"/>
        </w:rPr>
        <w:tab/>
        <w:t xml:space="preserve">Pagesat </w:t>
      </w:r>
      <w:r w:rsidR="00995D7A" w:rsidRPr="003B00B1">
        <w:rPr>
          <w:sz w:val="22"/>
          <w:szCs w:val="22"/>
        </w:rPr>
        <w:t>do të bëhen në [euro] në përputhje me nenet 20.6 dhe 29.4 të kushteve të përgjithshme në llogarinë bankare të njoftuar nga kontraktori tek autoriteti kontraktues.</w:t>
      </w:r>
    </w:p>
    <w:p w14:paraId="3C0930A5" w14:textId="7E896F48" w:rsidR="00B252A4" w:rsidRPr="003B00B1" w:rsidRDefault="00B252A4" w:rsidP="004443F8">
      <w:pPr>
        <w:spacing w:after="120"/>
        <w:ind w:left="567"/>
        <w:rPr>
          <w:sz w:val="22"/>
          <w:szCs w:val="22"/>
        </w:rPr>
      </w:pPr>
      <w:r w:rsidRPr="003B00B1">
        <w:rPr>
          <w:sz w:val="22"/>
          <w:szCs w:val="22"/>
        </w:rPr>
        <w:t>Në rastin e menaxhimit indirekt me kontroll ex ante dhe kur faturat i paraqiten autoritetit kontraktues, kontraktori duhet të informojë Komisionin Evropian në &lt;, duke dërguar një kopje të korrespondencës.]</w:t>
      </w:r>
    </w:p>
    <w:p w14:paraId="479C0B93" w14:textId="77777777" w:rsidR="00A1628E" w:rsidRPr="003B00B1" w:rsidRDefault="00A1628E" w:rsidP="004443F8">
      <w:pPr>
        <w:keepNext/>
        <w:keepLines/>
        <w:tabs>
          <w:tab w:val="left" w:pos="1134"/>
        </w:tabs>
        <w:spacing w:before="240" w:after="120"/>
        <w:ind w:left="1134" w:hanging="1134"/>
        <w:rPr>
          <w:b/>
        </w:rPr>
      </w:pPr>
      <w:r w:rsidRPr="003B00B1">
        <w:rPr>
          <w:b/>
        </w:rPr>
        <w:lastRenderedPageBreak/>
        <w:t xml:space="preserve">Neni 30 </w:t>
      </w:r>
      <w:r w:rsidRPr="003B00B1">
        <w:rPr>
          <w:b/>
        </w:rPr>
        <w:tab/>
      </w:r>
      <w:r w:rsidR="004E2AD3" w:rsidRPr="003B00B1">
        <w:rPr>
          <w:b/>
        </w:rPr>
        <w:t xml:space="preserve">Garancia </w:t>
      </w:r>
      <w:r w:rsidRPr="003B00B1">
        <w:rPr>
          <w:b/>
        </w:rPr>
        <w:t>financiare</w:t>
      </w:r>
    </w:p>
    <w:p w14:paraId="4874D3E1" w14:textId="77777777" w:rsidR="00A1628E" w:rsidRPr="003B00B1" w:rsidRDefault="00CB06F5" w:rsidP="00440E53">
      <w:pPr>
        <w:spacing w:after="120"/>
        <w:ind w:left="567" w:hanging="567"/>
        <w:rPr>
          <w:bCs/>
          <w:sz w:val="22"/>
          <w:szCs w:val="22"/>
        </w:rPr>
      </w:pPr>
      <w:r w:rsidRPr="003B00B1">
        <w:rPr>
          <w:bCs/>
          <w:sz w:val="22"/>
          <w:szCs w:val="22"/>
        </w:rPr>
        <w:t xml:space="preserve">30.1 </w:t>
      </w:r>
      <w:r w:rsidRPr="003B00B1">
        <w:rPr>
          <w:bCs/>
          <w:sz w:val="22"/>
          <w:szCs w:val="22"/>
        </w:rPr>
        <w:tab/>
      </w:r>
      <w:r w:rsidR="00762152" w:rsidRPr="003B00B1">
        <w:rPr>
          <w:bCs/>
          <w:sz w:val="22"/>
          <w:szCs w:val="22"/>
        </w:rPr>
        <w:t xml:space="preserve">[Kur parafinancimi i kërkuar është i barabartë ose më i vogël se 300 000 euro dhe i nënshtrohet një vlerësimi pozitiv të riskut </w:t>
      </w:r>
      <w:r w:rsidR="003462F8" w:rsidRPr="003B00B1">
        <w:rPr>
          <w:rStyle w:val="FootnoteReference"/>
          <w:bCs/>
          <w:szCs w:val="22"/>
        </w:rPr>
        <w:footnoteReference w:id="6"/>
      </w:r>
      <w:r w:rsidR="00762152" w:rsidRPr="003B00B1">
        <w:rPr>
          <w:bCs/>
          <w:sz w:val="22"/>
          <w:szCs w:val="22"/>
        </w:rPr>
        <w:t>nga autoriteti kontraktues, duke përjashtuar nenin 30 të kushteve të përgjithshme, nuk kërkohet garanci parafinancimi.]</w:t>
      </w:r>
    </w:p>
    <w:p w14:paraId="44F13189" w14:textId="77777777" w:rsidR="002A496E" w:rsidRPr="003B00B1" w:rsidRDefault="002A496E" w:rsidP="00B547BD">
      <w:pPr>
        <w:keepNext/>
        <w:keepLines/>
        <w:tabs>
          <w:tab w:val="left" w:pos="1134"/>
          <w:tab w:val="left" w:pos="6495"/>
        </w:tabs>
        <w:spacing w:before="240" w:after="120"/>
        <w:ind w:left="1134" w:hanging="1134"/>
        <w:rPr>
          <w:b/>
        </w:rPr>
      </w:pPr>
      <w:r w:rsidRPr="003B00B1">
        <w:rPr>
          <w:b/>
        </w:rPr>
        <w:t xml:space="preserve">Neni 40 </w:t>
      </w:r>
      <w:r w:rsidRPr="003B00B1">
        <w:rPr>
          <w:b/>
        </w:rPr>
        <w:tab/>
        <w:t>Zgjidhja e mosmarrëveshjeve</w:t>
      </w:r>
    </w:p>
    <w:p w14:paraId="74062397" w14:textId="23D7DC74" w:rsidR="00234418" w:rsidRPr="003B00B1" w:rsidRDefault="009642E7" w:rsidP="00CF41D3">
      <w:pPr>
        <w:spacing w:after="120"/>
        <w:rPr>
          <w:sz w:val="22"/>
          <w:szCs w:val="22"/>
        </w:rPr>
      </w:pPr>
      <w:r w:rsidRPr="003B00B1">
        <w:rPr>
          <w:i/>
          <w:sz w:val="22"/>
          <w:szCs w:val="22"/>
        </w:rPr>
        <w:t>:</w:t>
      </w:r>
      <w:r w:rsidRPr="003B00B1">
        <w:rPr>
          <w:sz w:val="22"/>
          <w:szCs w:val="22"/>
        </w:rPr>
        <w:t xml:space="preserve"> </w:t>
      </w:r>
    </w:p>
    <w:p w14:paraId="2A905B5B" w14:textId="77777777" w:rsidR="009642E7" w:rsidRPr="003B00B1" w:rsidRDefault="002A496E" w:rsidP="004443F8">
      <w:pPr>
        <w:spacing w:after="120"/>
        <w:ind w:left="567" w:hanging="567"/>
        <w:rPr>
          <w:sz w:val="22"/>
          <w:szCs w:val="22"/>
        </w:rPr>
      </w:pPr>
      <w:r w:rsidRPr="003B00B1">
        <w:rPr>
          <w:sz w:val="22"/>
          <w:szCs w:val="22"/>
        </w:rPr>
        <w:t xml:space="preserve">40.4 </w:t>
      </w:r>
      <w:r w:rsidR="00A44DBA" w:rsidRPr="003B00B1">
        <w:rPr>
          <w:sz w:val="22"/>
          <w:szCs w:val="22"/>
        </w:rPr>
        <w:tab/>
      </w:r>
      <w:r w:rsidR="002E755C" w:rsidRPr="003B00B1">
        <w:rPr>
          <w:sz w:val="22"/>
          <w:szCs w:val="22"/>
        </w:rPr>
        <w:t>Çdo mosmarrëveshje që lind nga ose lidhet me këtë kontratë, e cila nuk mund të zgjidhet në mënyrë miqësore, do t'i referohet juridiksionit ekskluziv të</w:t>
      </w:r>
      <w:r w:rsidR="009642E7" w:rsidRPr="003B00B1">
        <w:rPr>
          <w:i/>
          <w:sz w:val="22"/>
          <w:szCs w:val="22"/>
        </w:rPr>
        <w:t xml:space="preserve"> </w:t>
      </w:r>
      <w:r w:rsidR="009642E7" w:rsidRPr="003B00B1">
        <w:rPr>
          <w:sz w:val="22"/>
          <w:szCs w:val="22"/>
        </w:rPr>
        <w:t>gjykatat e Brukselit, Belgjikë.]</w:t>
      </w:r>
    </w:p>
    <w:p w14:paraId="447AD6B6" w14:textId="108247EB" w:rsidR="00256345" w:rsidRPr="003B00B1" w:rsidRDefault="00256345" w:rsidP="003B00B1">
      <w:pPr>
        <w:spacing w:after="120"/>
        <w:ind w:left="567" w:hanging="567"/>
        <w:rPr>
          <w:sz w:val="22"/>
          <w:szCs w:val="22"/>
        </w:rPr>
      </w:pPr>
      <w:r w:rsidRPr="003B00B1">
        <w:rPr>
          <w:sz w:val="22"/>
          <w:szCs w:val="22"/>
        </w:rPr>
        <w:t xml:space="preserve"> </w:t>
      </w:r>
    </w:p>
    <w:p w14:paraId="378BDEDB" w14:textId="696EDD3F" w:rsidR="009642E7" w:rsidRPr="003B00B1" w:rsidRDefault="006D5617" w:rsidP="00CF41D3">
      <w:pPr>
        <w:spacing w:after="120"/>
        <w:ind w:left="567" w:hanging="567"/>
        <w:rPr>
          <w:sz w:val="22"/>
          <w:szCs w:val="22"/>
        </w:rPr>
      </w:pPr>
      <w:r w:rsidRPr="003B00B1">
        <w:rPr>
          <w:sz w:val="22"/>
          <w:szCs w:val="22"/>
        </w:rPr>
        <w:t xml:space="preserve">[40.4 </w:t>
      </w:r>
      <w:r w:rsidR="009642E7" w:rsidRPr="003B00B1">
        <w:rPr>
          <w:sz w:val="22"/>
          <w:szCs w:val="22"/>
        </w:rPr>
        <w:tab/>
        <w:t xml:space="preserve">Çdo mosmarrëveshje që lind nga ose lidhet me këtë </w:t>
      </w:r>
      <w:r w:rsidR="004B7527" w:rsidRPr="003B00B1">
        <w:rPr>
          <w:sz w:val="22"/>
          <w:szCs w:val="22"/>
        </w:rPr>
        <w:t xml:space="preserve">kontratë, e cila nuk mund të zgjidhet ndryshe, do t'i referohet juridiksionit ekskluziv të &gt; n </w:t>
      </w:r>
      <w:r w:rsidR="0074334B" w:rsidRPr="003B00B1">
        <w:rPr>
          <w:sz w:val="22"/>
          <w:szCs w:val="22"/>
        </w:rPr>
        <w:t>në përputhje me legjislacionin kombëtar të shtetit të autoritetit kontraktues.]</w:t>
      </w:r>
    </w:p>
    <w:p w14:paraId="439BA9ED" w14:textId="6452BD7F" w:rsidR="009642E7" w:rsidRPr="003B00B1" w:rsidRDefault="003B00B1" w:rsidP="00CF41D3">
      <w:pPr>
        <w:spacing w:after="120"/>
        <w:ind w:left="567" w:hanging="567"/>
        <w:rPr>
          <w:sz w:val="22"/>
          <w:szCs w:val="22"/>
        </w:rPr>
      </w:pPr>
      <w:r w:rsidRPr="003B00B1">
        <w:rPr>
          <w:sz w:val="22"/>
          <w:szCs w:val="22"/>
        </w:rPr>
        <w:t xml:space="preserve"> </w:t>
      </w:r>
      <w:r w:rsidR="006D5617" w:rsidRPr="003B00B1">
        <w:rPr>
          <w:sz w:val="22"/>
          <w:szCs w:val="22"/>
        </w:rPr>
        <w:t xml:space="preserve">[40.4 </w:t>
      </w:r>
      <w:r w:rsidR="009642E7" w:rsidRPr="003B00B1">
        <w:rPr>
          <w:sz w:val="22"/>
          <w:szCs w:val="22"/>
        </w:rPr>
        <w:tab/>
        <w:t xml:space="preserve">Çdo mosmarrëveshje që lind nga ose lidhet me këtë </w:t>
      </w:r>
      <w:r w:rsidR="004B7527" w:rsidRPr="003B00B1">
        <w:rPr>
          <w:sz w:val="22"/>
          <w:szCs w:val="22"/>
        </w:rPr>
        <w:t>kontratë, e cila nuk mund të zgjidhet ndryshe, do të referohet për arbitrazh në përputhje me rregullat e arbitrazhit të [Dhomës Ndërkombëtare të Tregtisë] [Komisionit të Kombeve të Bashkuara për të Drejtën Ndërkombëtare të Tregtisë] [&lt;</w:t>
      </w:r>
    </w:p>
    <w:p w14:paraId="2EDD5F9A" w14:textId="77777777" w:rsidR="004E00C9" w:rsidRPr="003B00B1" w:rsidRDefault="00226B14" w:rsidP="00440E53">
      <w:pPr>
        <w:keepNext/>
        <w:spacing w:after="120"/>
        <w:rPr>
          <w:b/>
          <w:szCs w:val="24"/>
        </w:rPr>
      </w:pPr>
      <w:r w:rsidRPr="003B00B1">
        <w:rPr>
          <w:b/>
          <w:szCs w:val="24"/>
        </w:rPr>
        <w:t xml:space="preserve">Neni 40 </w:t>
      </w:r>
      <w:r w:rsidRPr="003B00B1">
        <w:rPr>
          <w:b/>
          <w:szCs w:val="24"/>
        </w:rPr>
        <w:tab/>
        <w:t xml:space="preserve">Zgjidhja e mosmarrëveshjeve dhe </w:t>
      </w:r>
      <w:r w:rsidR="004E00C9" w:rsidRPr="003B00B1">
        <w:rPr>
          <w:b/>
          <w:szCs w:val="24"/>
        </w:rPr>
        <w:t>Neni 41 Ligji i zbatueshëm</w:t>
      </w:r>
    </w:p>
    <w:p w14:paraId="7DA96DEF" w14:textId="77777777" w:rsidR="00226B14" w:rsidRPr="003B00B1" w:rsidRDefault="00226B14" w:rsidP="00440E53">
      <w:pPr>
        <w:keepNext/>
        <w:spacing w:after="120"/>
        <w:rPr>
          <w:sz w:val="22"/>
          <w:szCs w:val="22"/>
        </w:rPr>
      </w:pPr>
      <w:r w:rsidRPr="003B00B1">
        <w:rPr>
          <w:sz w:val="22"/>
          <w:szCs w:val="22"/>
        </w:rPr>
        <w:t>Nenet 40.3, 40.4 dhe 41.1 të kushteve të përgjithshme zëvendësohen me sa vijon:</w:t>
      </w:r>
    </w:p>
    <w:p w14:paraId="67EB659B" w14:textId="77777777" w:rsidR="004E00C9" w:rsidRPr="003B00B1" w:rsidRDefault="00226B14" w:rsidP="00440E53">
      <w:pPr>
        <w:spacing w:after="120"/>
        <w:rPr>
          <w:sz w:val="22"/>
          <w:szCs w:val="22"/>
        </w:rPr>
      </w:pPr>
      <w:r w:rsidRPr="003B00B1">
        <w:rPr>
          <w:sz w:val="22"/>
          <w:szCs w:val="22"/>
        </w:rPr>
        <w:t>Në mungesë të një zgjidhjeje miqësore, palët mund ta referojnë çështjen në arbitrazh në përputhje me Rregullat Opsionale të Gjykatës së Përhershme të Arbitrazhit për Arbitrazhin që Përfshijnë Organizatat Ndërkombëtare dhe Shtetet në fuqi në datën e përfundimit të kësaj marrëveshjeje. Autoriteti emërues do të jetë Sekretari i Përgjithshëm i Gjykatës së Përhershme të Arbitrazhit pas një kërkese me shkrim të paraqitur nga secila palë. Vendimi i Arbitrit do të jetë i detyrueshëm për të gjitha palët dhe nuk do të ketë ankesë.]</w:t>
      </w:r>
    </w:p>
    <w:p w14:paraId="4CA5C7D8" w14:textId="77777777" w:rsidR="004E00C9" w:rsidRPr="003B00B1" w:rsidRDefault="004E00C9" w:rsidP="00440E53">
      <w:pPr>
        <w:spacing w:after="120"/>
        <w:rPr>
          <w:sz w:val="22"/>
          <w:szCs w:val="22"/>
        </w:rPr>
      </w:pPr>
    </w:p>
    <w:p w14:paraId="0EF08FD3" w14:textId="77777777" w:rsidR="00A20EF8" w:rsidRPr="003B00B1" w:rsidRDefault="00A20EF8" w:rsidP="00A20EF8">
      <w:pPr>
        <w:keepNext/>
        <w:keepLines/>
        <w:tabs>
          <w:tab w:val="left" w:pos="1134"/>
        </w:tabs>
        <w:spacing w:before="240" w:after="120"/>
        <w:ind w:left="1134" w:hanging="1134"/>
        <w:rPr>
          <w:b/>
          <w:szCs w:val="24"/>
        </w:rPr>
      </w:pPr>
      <w:r w:rsidRPr="003B00B1">
        <w:rPr>
          <w:b/>
          <w:szCs w:val="24"/>
        </w:rPr>
        <w:t xml:space="preserve">Neni 42 </w:t>
      </w:r>
      <w:r w:rsidRPr="003B00B1">
        <w:rPr>
          <w:b/>
          <w:szCs w:val="24"/>
        </w:rPr>
        <w:tab/>
        <w:t>Mbrojtja e të Dhënave</w:t>
      </w:r>
    </w:p>
    <w:p w14:paraId="3DCA49C6" w14:textId="70141C44" w:rsidR="00CE2938" w:rsidRPr="003B00B1" w:rsidRDefault="00CE2938" w:rsidP="00CE2938">
      <w:pPr>
        <w:rPr>
          <w:sz w:val="22"/>
          <w:szCs w:val="22"/>
        </w:rPr>
      </w:pPr>
    </w:p>
    <w:p w14:paraId="147D0CA5" w14:textId="35B0FB69" w:rsidR="00CE2938" w:rsidRPr="003B00B1" w:rsidRDefault="00CE2938" w:rsidP="00CE2938">
      <w:pPr>
        <w:rPr>
          <w:sz w:val="22"/>
          <w:szCs w:val="22"/>
        </w:rPr>
      </w:pPr>
      <w:r w:rsidRPr="003B00B1">
        <w:rPr>
          <w:sz w:val="22"/>
          <w:szCs w:val="22"/>
        </w:rPr>
        <w:t>1. Përpunimi i të dhënave personale që lidhen me zbatimin e kontratës nga autoriteti kontraktues kryhet në përputhje me legjislacionin kombëtar të shtetit të autoritetit kontraktues dhe me dispozitat e marrëveshjes përkatëse të financimit.</w:t>
      </w:r>
    </w:p>
    <w:p w14:paraId="1C5AD602" w14:textId="77777777" w:rsidR="00CE2938" w:rsidRPr="005C0DEE" w:rsidRDefault="00CE2938" w:rsidP="00CE2938">
      <w:pPr>
        <w:rPr>
          <w:sz w:val="22"/>
          <w:szCs w:val="22"/>
          <w:u w:val="single"/>
        </w:rPr>
      </w:pPr>
      <w:r w:rsidRPr="003B00B1">
        <w:rPr>
          <w:sz w:val="22"/>
          <w:szCs w:val="22"/>
        </w:rPr>
        <w:t xml:space="preserve">2. Në masën që kontrata mbulon një veprim të financuar nga Bashkimi Evropian, Autoriteti Kontraktues mund të ndajë komunikime që lidhen me zbatimin e kontratës me Komisionin Evropian. Këto shkëmbime do t'i bëhen Komisionit, vetëm me qëllim që t'i lejojnë këtij të fundit të ushtrojë të drejtat dhe detyrimet e tij sipas kuadrit legjislativ në fuqi dhe sipas marrëveshjes së financimit me vendin Partner - autoritetin kontraktues. Shkëmbimet mund të përfshijnë transferime të të dhënave personale (siç janë emrat, të dhënat e kontaktit, nënshkrimet dhe CV-të) të personave fizikë të përfshirë në zbatimin e kontratës (siç janë kontraktorët, stafi, ekspertët, praktikantët, nënkontraktorët, siguruesit, garantuesit, auditorët dhe këshilltarët ligjorë). Në rastet kur kontraktori po përpunon të dhëna personale në kontekstin e zbatimit të kontratës, ai/ajo duhet t'i informojë subjektet e të dhënave në përputhje me rrethanat për transmetimin e mundshëm të të dhënave të tyre në Komision. Kur të dhënat personale i transmetohen Komisionit, ky i fundit i përpunon ato në përputhje me Rregulloren (BE) 2018/1725 të Parlamentit Evropian dhe të Këshillit të 23 tetorit </w:t>
      </w:r>
      <w:r w:rsidRPr="003B00B1">
        <w:rPr>
          <w:sz w:val="22"/>
          <w:szCs w:val="22"/>
        </w:rPr>
        <w:lastRenderedPageBreak/>
        <w:t xml:space="preserve">2018 për mbrojtjen e personave fizikë në lidhje me përpunimin e të dhënave personale nga institucionet, organet, zyrat dhe agjencitë e Bashkimit dhe për lëvizjen e lirë të të dhënave të tilla, dhe që shfuqizon Rregulloren (KE) nr. 45/2001 dhe Vendimin nr. 1247/2002/KE </w:t>
      </w:r>
      <w:r w:rsidRPr="003B00B1">
        <w:rPr>
          <w:rStyle w:val="FootnoteReference"/>
          <w:sz w:val="22"/>
          <w:szCs w:val="22"/>
        </w:rPr>
        <w:footnoteReference w:id="7"/>
      </w:r>
      <w:r w:rsidRPr="003B00B1">
        <w:rPr>
          <w:sz w:val="22"/>
          <w:szCs w:val="22"/>
        </w:rPr>
        <w:t xml:space="preserve">dhe siç detajohet në deklaratën specifike të privatësisë të publikuar në ePRAG . </w:t>
      </w:r>
      <w:r w:rsidRPr="003B00B1">
        <w:rPr>
          <w:sz w:val="22"/>
          <w:szCs w:val="22"/>
          <w:u w:val="single"/>
        </w:rPr>
        <w:t>]</w:t>
      </w:r>
    </w:p>
    <w:p w14:paraId="63D0C9D0" w14:textId="77777777" w:rsidR="00926917" w:rsidRPr="00995C32" w:rsidRDefault="00CE2938" w:rsidP="00CE2938">
      <w:pPr>
        <w:spacing w:before="240"/>
        <w:ind w:left="1417" w:hanging="1417"/>
        <w:jc w:val="left"/>
        <w:rPr>
          <w:sz w:val="22"/>
          <w:szCs w:val="22"/>
        </w:rPr>
      </w:pPr>
      <w:r w:rsidDel="00CE2938">
        <w:rPr>
          <w:sz w:val="22"/>
          <w:szCs w:val="22"/>
        </w:rPr>
        <w:t xml:space="preserve"> </w:t>
      </w:r>
    </w:p>
    <w:p w14:paraId="5BDB2E84" w14:textId="77777777" w:rsidR="004701B3" w:rsidRPr="00C73B43" w:rsidRDefault="004701B3" w:rsidP="00C73B43">
      <w:pPr>
        <w:keepNext/>
        <w:keepLines/>
        <w:tabs>
          <w:tab w:val="left" w:pos="1134"/>
        </w:tabs>
        <w:spacing w:before="240" w:after="120"/>
        <w:ind w:left="1134" w:hanging="1134"/>
        <w:rPr>
          <w:b/>
        </w:rPr>
      </w:pPr>
      <w:r w:rsidRPr="00C73B43">
        <w:rPr>
          <w:b/>
        </w:rPr>
        <w:t xml:space="preserve">Neni 43 </w:t>
      </w:r>
      <w:r w:rsidRPr="00C73B43">
        <w:rPr>
          <w:b/>
        </w:rPr>
        <w:tab/>
        <w:t>Klauzola të mëtejshme shtesë</w:t>
      </w:r>
    </w:p>
    <w:p w14:paraId="11EA220C" w14:textId="77777777" w:rsidR="00212B1D" w:rsidRPr="0036136C" w:rsidRDefault="00212B1D" w:rsidP="00C73B43">
      <w:pPr>
        <w:spacing w:before="240"/>
        <w:ind w:left="1417" w:hanging="1417"/>
        <w:jc w:val="center"/>
        <w:rPr>
          <w:sz w:val="22"/>
          <w:szCs w:val="22"/>
        </w:rPr>
      </w:pPr>
      <w:r>
        <w:rPr>
          <w:sz w:val="22"/>
          <w:szCs w:val="22"/>
        </w:rPr>
        <w:t>* * *</w:t>
      </w:r>
    </w:p>
    <w:sectPr w:rsidR="00212B1D" w:rsidRPr="0036136C" w:rsidSect="0036136C">
      <w:headerReference w:type="even" r:id="rId11"/>
      <w:headerReference w:type="default" r:id="rId12"/>
      <w:footerReference w:type="even" r:id="rId13"/>
      <w:footerReference w:type="default" r:id="rId14"/>
      <w:headerReference w:type="first" r:id="rId15"/>
      <w:footerReference w:type="first" r:id="rId16"/>
      <w:pgSz w:w="11913" w:h="16834" w:code="9"/>
      <w:pgMar w:top="1134" w:right="1418" w:bottom="1276" w:left="1134" w:header="720" w:footer="534"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23F5" w14:textId="77777777" w:rsidR="00634B1C" w:rsidRDefault="00634B1C">
      <w:r>
        <w:separator/>
      </w:r>
    </w:p>
  </w:endnote>
  <w:endnote w:type="continuationSeparator" w:id="0">
    <w:p w14:paraId="63C38A54" w14:textId="77777777" w:rsidR="00634B1C" w:rsidRDefault="0063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C59E" w14:textId="77777777" w:rsidR="008B3FC1" w:rsidRDefault="008B3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C627" w14:textId="1FCE1DD6" w:rsidR="00694695" w:rsidRPr="00C9543A" w:rsidRDefault="00B361C1"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 xml:space="preserve">2021.1 </w:t>
    </w:r>
    <w:r w:rsidR="00694695" w:rsidRPr="00953EE9">
      <w:rPr>
        <w:rFonts w:ascii="Times New Roman" w:hAnsi="Times New Roman"/>
        <w:sz w:val="18"/>
        <w:szCs w:val="18"/>
      </w:rPr>
      <w:tab/>
      <w:t xml:space="preserve">Faqja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PAGE </w:instrText>
    </w:r>
    <w:r w:rsidR="00694695" w:rsidRPr="00953EE9">
      <w:rPr>
        <w:rStyle w:val="PageNumber"/>
        <w:rFonts w:ascii="Times New Roman" w:hAnsi="Times New Roman"/>
        <w:sz w:val="18"/>
        <w:szCs w:val="18"/>
      </w:rPr>
      <w:fldChar w:fldCharType="separate"/>
    </w:r>
    <w:r w:rsidR="003B00B1">
      <w:rPr>
        <w:rStyle w:val="PageNumber"/>
        <w:rFonts w:ascii="Times New Roman" w:hAnsi="Times New Roman"/>
        <w:noProof/>
        <w:sz w:val="18"/>
        <w:szCs w:val="18"/>
      </w:rPr>
      <w:t xml:space="preserve">5 </w:t>
    </w:r>
    <w:r w:rsidR="00694695" w:rsidRPr="00953EE9">
      <w:rPr>
        <w:rStyle w:val="PageNumber"/>
        <w:rFonts w:ascii="Times New Roman" w:hAnsi="Times New Roman"/>
        <w:sz w:val="18"/>
        <w:szCs w:val="18"/>
      </w:rPr>
      <w:fldChar w:fldCharType="end"/>
    </w:r>
    <w:r w:rsidR="00694695" w:rsidRPr="00953EE9">
      <w:rPr>
        <w:rStyle w:val="PageNumber"/>
        <w:rFonts w:ascii="Times New Roman" w:hAnsi="Times New Roman"/>
        <w:sz w:val="18"/>
        <w:szCs w:val="18"/>
      </w:rPr>
      <w:t xml:space="preserve">nga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NUMPAGES </w:instrText>
    </w:r>
    <w:r w:rsidR="00694695" w:rsidRPr="00953EE9">
      <w:rPr>
        <w:rStyle w:val="PageNumber"/>
        <w:rFonts w:ascii="Times New Roman" w:hAnsi="Times New Roman"/>
        <w:sz w:val="18"/>
        <w:szCs w:val="18"/>
      </w:rPr>
      <w:fldChar w:fldCharType="separate"/>
    </w:r>
    <w:r w:rsidR="003B00B1">
      <w:rPr>
        <w:rStyle w:val="PageNumber"/>
        <w:rFonts w:ascii="Times New Roman" w:hAnsi="Times New Roman"/>
        <w:noProof/>
        <w:sz w:val="18"/>
        <w:szCs w:val="18"/>
      </w:rPr>
      <w:t>7</w:t>
    </w:r>
    <w:r w:rsidR="00694695" w:rsidRPr="00953EE9">
      <w:rPr>
        <w:rStyle w:val="PageNumber"/>
        <w:rFonts w:ascii="Times New Roman" w:hAnsi="Times New Roman"/>
        <w:sz w:val="18"/>
        <w:szCs w:val="18"/>
      </w:rPr>
      <w:fldChar w:fldCharType="end"/>
    </w:r>
  </w:p>
  <w:p w14:paraId="518DBA28" w14:textId="77777777" w:rsidR="00694695" w:rsidRPr="00953EE9" w:rsidRDefault="00694695"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3D1F31">
      <w:rPr>
        <w:rStyle w:val="PageNumber"/>
        <w:rFonts w:ascii="Times New Roman" w:hAnsi="Times New Roman"/>
        <w:noProof/>
        <w:sz w:val="18"/>
        <w:szCs w:val="18"/>
      </w:rPr>
      <w:t>b8c_contract_en.doc</w:t>
    </w:r>
    <w:r w:rsidRPr="00315FD3">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0449" w14:textId="500F3A58" w:rsidR="00694695" w:rsidRPr="00953EE9" w:rsidRDefault="00B361C1"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 xml:space="preserve">2021.1 </w:t>
    </w:r>
    <w:r w:rsidR="00694695" w:rsidRPr="00953EE9">
      <w:rPr>
        <w:rFonts w:ascii="Times New Roman" w:hAnsi="Times New Roman"/>
        <w:sz w:val="18"/>
        <w:szCs w:val="18"/>
      </w:rPr>
      <w:tab/>
    </w:r>
    <w:r w:rsidR="00694695" w:rsidRPr="00953EE9">
      <w:rPr>
        <w:rFonts w:ascii="Times New Roman" w:hAnsi="Times New Roman"/>
        <w:sz w:val="18"/>
        <w:szCs w:val="18"/>
      </w:rPr>
      <w:t xml:space="preserve">Faqja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PAGE </w:instrText>
    </w:r>
    <w:r w:rsidR="00694695" w:rsidRPr="00953EE9">
      <w:rPr>
        <w:rStyle w:val="PageNumber"/>
        <w:rFonts w:ascii="Times New Roman" w:hAnsi="Times New Roman"/>
        <w:sz w:val="18"/>
        <w:szCs w:val="18"/>
      </w:rPr>
      <w:fldChar w:fldCharType="separate"/>
    </w:r>
    <w:r w:rsidR="003B00B1">
      <w:rPr>
        <w:rStyle w:val="PageNumber"/>
        <w:rFonts w:ascii="Times New Roman" w:hAnsi="Times New Roman"/>
        <w:noProof/>
        <w:sz w:val="18"/>
        <w:szCs w:val="18"/>
      </w:rPr>
      <w:t xml:space="preserve">1 </w:t>
    </w:r>
    <w:r w:rsidR="00694695" w:rsidRPr="00953EE9">
      <w:rPr>
        <w:rStyle w:val="PageNumber"/>
        <w:rFonts w:ascii="Times New Roman" w:hAnsi="Times New Roman"/>
        <w:sz w:val="18"/>
        <w:szCs w:val="18"/>
      </w:rPr>
      <w:fldChar w:fldCharType="end"/>
    </w:r>
    <w:r w:rsidR="00694695" w:rsidRPr="00953EE9">
      <w:rPr>
        <w:rStyle w:val="PageNumber"/>
        <w:rFonts w:ascii="Times New Roman" w:hAnsi="Times New Roman"/>
        <w:sz w:val="18"/>
        <w:szCs w:val="18"/>
      </w:rPr>
      <w:t xml:space="preserve">nga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NUMPAGES </w:instrText>
    </w:r>
    <w:r w:rsidR="00694695" w:rsidRPr="00953EE9">
      <w:rPr>
        <w:rStyle w:val="PageNumber"/>
        <w:rFonts w:ascii="Times New Roman" w:hAnsi="Times New Roman"/>
        <w:sz w:val="18"/>
        <w:szCs w:val="18"/>
      </w:rPr>
      <w:fldChar w:fldCharType="separate"/>
    </w:r>
    <w:r w:rsidR="003B00B1">
      <w:rPr>
        <w:rStyle w:val="PageNumber"/>
        <w:rFonts w:ascii="Times New Roman" w:hAnsi="Times New Roman"/>
        <w:noProof/>
        <w:sz w:val="18"/>
        <w:szCs w:val="18"/>
      </w:rPr>
      <w:t>7</w:t>
    </w:r>
    <w:r w:rsidR="00694695" w:rsidRPr="00953EE9">
      <w:rPr>
        <w:rStyle w:val="PageNumber"/>
        <w:rFonts w:ascii="Times New Roman" w:hAnsi="Times New Roman"/>
        <w:sz w:val="18"/>
        <w:szCs w:val="18"/>
      </w:rPr>
      <w:fldChar w:fldCharType="end"/>
    </w:r>
  </w:p>
  <w:p w14:paraId="0BA24268" w14:textId="77777777" w:rsidR="00694695" w:rsidRPr="00953EE9" w:rsidRDefault="00694695"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586E35">
      <w:rPr>
        <w:rStyle w:val="PageNumber"/>
        <w:rFonts w:ascii="Times New Roman" w:hAnsi="Times New Roman"/>
        <w:noProof/>
        <w:sz w:val="18"/>
        <w:szCs w:val="18"/>
      </w:rPr>
      <w:t>b8c_contract_en.doc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D969" w14:textId="77777777" w:rsidR="00634B1C" w:rsidRDefault="00634B1C" w:rsidP="004B7C2F">
      <w:pPr>
        <w:spacing w:before="120" w:after="0"/>
      </w:pPr>
      <w:r>
        <w:separator/>
      </w:r>
    </w:p>
  </w:footnote>
  <w:footnote w:type="continuationSeparator" w:id="0">
    <w:p w14:paraId="560D4C18" w14:textId="77777777" w:rsidR="00634B1C" w:rsidRDefault="00634B1C">
      <w:r>
        <w:continuationSeparator/>
      </w:r>
    </w:p>
  </w:footnote>
  <w:footnote w:id="1">
    <w:p w14:paraId="38FD3E6C" w14:textId="77777777" w:rsidR="00694695" w:rsidRPr="004E2AD3" w:rsidRDefault="00694695" w:rsidP="004E2AD3">
      <w:pPr>
        <w:pStyle w:val="FootnoteText"/>
      </w:pPr>
      <w:r w:rsidRPr="00C559EF">
        <w:rPr>
          <w:rStyle w:val="FootnoteReference"/>
          <w:szCs w:val="16"/>
        </w:rPr>
        <w:footnoteRef/>
      </w:r>
      <w:r w:rsidR="00497C38">
        <w:t>Kur pala kontraktuese është një individ.</w:t>
      </w:r>
    </w:p>
  </w:footnote>
  <w:footnote w:id="2">
    <w:p w14:paraId="6650899A" w14:textId="77777777" w:rsidR="00694695" w:rsidRPr="004E2AD3" w:rsidRDefault="00694695" w:rsidP="004E2AD3">
      <w:pPr>
        <w:pStyle w:val="FootnoteText"/>
      </w:pPr>
      <w:r w:rsidRPr="00C559EF">
        <w:rPr>
          <w:rStyle w:val="FootnoteReference"/>
          <w:szCs w:val="16"/>
        </w:rPr>
        <w:footnoteRef/>
      </w:r>
      <w:r w:rsidR="00497C38">
        <w:t>Kur është e aplikueshme. Për individët, përmendni numrin e kartës së identitetit, pasaportës ose të një dokumenti ekuivalent.</w:t>
      </w:r>
    </w:p>
  </w:footnote>
  <w:footnote w:id="3">
    <w:p w14:paraId="3ABBC704" w14:textId="77777777" w:rsidR="00694695" w:rsidRPr="004E2AD3" w:rsidRDefault="00694695" w:rsidP="004E2AD3">
      <w:pPr>
        <w:pStyle w:val="FootnoteText"/>
      </w:pPr>
      <w:r w:rsidRPr="00C559EF">
        <w:rPr>
          <w:rStyle w:val="FootnoteReference"/>
          <w:szCs w:val="16"/>
        </w:rPr>
        <w:footnoteRef/>
      </w:r>
      <w:r w:rsidR="00497C38">
        <w:t>Përveç rasteve kur pala kontraktuese nuk është e regjistruar për TVSH.</w:t>
      </w:r>
    </w:p>
  </w:footnote>
  <w:footnote w:id="4">
    <w:p w14:paraId="50CEB7C6" w14:textId="77777777" w:rsidR="00694695" w:rsidRPr="004E2AD3" w:rsidRDefault="00694695" w:rsidP="004E2AD3">
      <w:pPr>
        <w:pStyle w:val="FootnoteText"/>
      </w:pPr>
      <w:r w:rsidRPr="00C559EF">
        <w:rPr>
          <w:rStyle w:val="FootnoteReference"/>
          <w:szCs w:val="16"/>
        </w:rPr>
        <w:footnoteRef/>
      </w:r>
      <w:r w:rsidR="00D72E94">
        <w:t>Kontraktori nuk është i detyruar të kërkojë parafinancim.</w:t>
      </w:r>
    </w:p>
  </w:footnote>
  <w:footnote w:id="5">
    <w:p w14:paraId="61AC5845" w14:textId="77777777" w:rsidR="00694695" w:rsidRPr="004E2AD3" w:rsidRDefault="00694695" w:rsidP="004E2AD3">
      <w:pPr>
        <w:pStyle w:val="FootnoteText"/>
      </w:pPr>
      <w:r w:rsidRPr="00C559EF">
        <w:rPr>
          <w:rStyle w:val="FootnoteReference"/>
          <w:szCs w:val="16"/>
        </w:rPr>
        <w:footnoteRef/>
      </w:r>
      <w:r w:rsidR="00D72E94">
        <w:t>Kontraktori nuk është i detyruar të kërkojë parafinancim.</w:t>
      </w:r>
    </w:p>
  </w:footnote>
  <w:footnote w:id="6">
    <w:p w14:paraId="2BC3496D" w14:textId="77777777" w:rsidR="003462F8" w:rsidRPr="004E2AD3" w:rsidRDefault="003462F8" w:rsidP="004E2AD3">
      <w:pPr>
        <w:pStyle w:val="FootnoteText"/>
      </w:pPr>
      <w:r w:rsidRPr="003B00B1">
        <w:rPr>
          <w:rStyle w:val="FootnoteReference"/>
          <w:szCs w:val="16"/>
        </w:rPr>
        <w:footnoteRef/>
      </w:r>
      <w:r w:rsidRPr="003B00B1">
        <w:t xml:space="preserve"> </w:t>
      </w:r>
      <w:r w:rsidR="00793B77" w:rsidRPr="003B00B1">
        <w:rPr>
          <w:snapToGrid w:val="0"/>
        </w:rPr>
        <w:t xml:space="preserve">Një </w:t>
      </w:r>
      <w:r w:rsidR="00793B77" w:rsidRPr="003B00B1">
        <w:rPr>
          <w:snapToGrid w:val="0"/>
        </w:rPr>
        <w:t xml:space="preserve">vlerësim i tillë i riskut kërkohet, për </w:t>
      </w:r>
      <w:r w:rsidR="000E35A3" w:rsidRPr="003B00B1">
        <w:t>shembull, kur kontrata i jepet një kompanie që nuk i përputhet vetë kritereve të përzgjedhjes, por mbështetet në kapacitetin e një kompanie tjetër.</w:t>
      </w:r>
    </w:p>
  </w:footnote>
  <w:footnote w:id="7">
    <w:p w14:paraId="7DE4A5D2" w14:textId="77777777" w:rsidR="00CE2938" w:rsidRDefault="00CE2938" w:rsidP="00CE2938">
      <w:pPr>
        <w:pStyle w:val="FootnoteText"/>
      </w:pPr>
      <w:r>
        <w:rPr>
          <w:rStyle w:val="FootnoteReference"/>
        </w:rPr>
        <w:footnoteRef/>
      </w:r>
      <w:r>
        <w:t>Gazeta Zyrtare L 205 e datës 21.11.2018, f.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5007" w14:textId="77777777" w:rsidR="008B3FC1" w:rsidRDefault="008B3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6D3D" w14:textId="77777777" w:rsidR="008B3FC1" w:rsidRDefault="008B3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CBD5" w14:textId="77777777" w:rsidR="008B3FC1" w:rsidRDefault="008B3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C25287"/>
    <w:multiLevelType w:val="hybridMultilevel"/>
    <w:tmpl w:val="2D44DF3C"/>
    <w:lvl w:ilvl="0" w:tplc="1E5AEAF4">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9"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A1D7248"/>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3923969">
    <w:abstractNumId w:val="19"/>
  </w:num>
  <w:num w:numId="2" w16cid:durableId="1993170621">
    <w:abstractNumId w:val="1"/>
  </w:num>
  <w:num w:numId="3" w16cid:durableId="79723326">
    <w:abstractNumId w:val="0"/>
  </w:num>
  <w:num w:numId="4" w16cid:durableId="1866795676">
    <w:abstractNumId w:val="15"/>
  </w:num>
  <w:num w:numId="5" w16cid:durableId="1314217467">
    <w:abstractNumId w:val="4"/>
  </w:num>
  <w:num w:numId="6" w16cid:durableId="731513133">
    <w:abstractNumId w:val="12"/>
  </w:num>
  <w:num w:numId="7" w16cid:durableId="54670254">
    <w:abstractNumId w:val="7"/>
  </w:num>
  <w:num w:numId="8" w16cid:durableId="2108112238">
    <w:abstractNumId w:val="11"/>
  </w:num>
  <w:num w:numId="9" w16cid:durableId="1560478083">
    <w:abstractNumId w:val="18"/>
  </w:num>
  <w:num w:numId="10" w16cid:durableId="6559630">
    <w:abstractNumId w:val="21"/>
  </w:num>
  <w:num w:numId="11" w16cid:durableId="2047750687">
    <w:abstractNumId w:val="9"/>
  </w:num>
  <w:num w:numId="12" w16cid:durableId="1448967012">
    <w:abstractNumId w:val="17"/>
  </w:num>
  <w:num w:numId="13" w16cid:durableId="1667124849">
    <w:abstractNumId w:val="16"/>
  </w:num>
  <w:num w:numId="14" w16cid:durableId="1377193275">
    <w:abstractNumId w:val="13"/>
  </w:num>
  <w:num w:numId="15" w16cid:durableId="198662226">
    <w:abstractNumId w:val="14"/>
  </w:num>
  <w:num w:numId="16" w16cid:durableId="2088963141">
    <w:abstractNumId w:val="6"/>
  </w:num>
  <w:num w:numId="17" w16cid:durableId="465465933">
    <w:abstractNumId w:val="10"/>
  </w:num>
  <w:num w:numId="18" w16cid:durableId="1113865892">
    <w:abstractNumId w:val="5"/>
  </w:num>
  <w:num w:numId="19" w16cid:durableId="2066490991">
    <w:abstractNumId w:val="8"/>
  </w:num>
  <w:num w:numId="20" w16cid:durableId="1537933916">
    <w:abstractNumId w:val="22"/>
  </w:num>
  <w:num w:numId="21" w16cid:durableId="1913195858">
    <w:abstractNumId w:val="23"/>
  </w:num>
  <w:num w:numId="22" w16cid:durableId="1535540961">
    <w:abstractNumId w:val="2"/>
  </w:num>
  <w:num w:numId="23" w16cid:durableId="260917050">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23094"/>
    <w:rsid w:val="000339D4"/>
    <w:rsid w:val="00033A20"/>
    <w:rsid w:val="000366D7"/>
    <w:rsid w:val="0003789B"/>
    <w:rsid w:val="00040832"/>
    <w:rsid w:val="000427DA"/>
    <w:rsid w:val="00042DFE"/>
    <w:rsid w:val="00043496"/>
    <w:rsid w:val="00044E0D"/>
    <w:rsid w:val="00051D85"/>
    <w:rsid w:val="000530F1"/>
    <w:rsid w:val="00053401"/>
    <w:rsid w:val="00057077"/>
    <w:rsid w:val="00061E96"/>
    <w:rsid w:val="00062765"/>
    <w:rsid w:val="00070187"/>
    <w:rsid w:val="000701F2"/>
    <w:rsid w:val="00071FDC"/>
    <w:rsid w:val="00072FCD"/>
    <w:rsid w:val="000751CA"/>
    <w:rsid w:val="0008054B"/>
    <w:rsid w:val="000824EE"/>
    <w:rsid w:val="0008449C"/>
    <w:rsid w:val="00086958"/>
    <w:rsid w:val="00087224"/>
    <w:rsid w:val="00090FC9"/>
    <w:rsid w:val="000934C6"/>
    <w:rsid w:val="000A20B7"/>
    <w:rsid w:val="000B121C"/>
    <w:rsid w:val="000B4FE6"/>
    <w:rsid w:val="000B7416"/>
    <w:rsid w:val="000C2BAA"/>
    <w:rsid w:val="000C2FFF"/>
    <w:rsid w:val="000C31E3"/>
    <w:rsid w:val="000C55F2"/>
    <w:rsid w:val="000D35DA"/>
    <w:rsid w:val="000D3BFD"/>
    <w:rsid w:val="000D3DA8"/>
    <w:rsid w:val="000D53C4"/>
    <w:rsid w:val="000D6FF2"/>
    <w:rsid w:val="000E001E"/>
    <w:rsid w:val="000E35A3"/>
    <w:rsid w:val="000E4CB1"/>
    <w:rsid w:val="000F206E"/>
    <w:rsid w:val="000F2887"/>
    <w:rsid w:val="000F5076"/>
    <w:rsid w:val="00101CF7"/>
    <w:rsid w:val="001074CE"/>
    <w:rsid w:val="00110F82"/>
    <w:rsid w:val="00111F83"/>
    <w:rsid w:val="0011405C"/>
    <w:rsid w:val="00121FDD"/>
    <w:rsid w:val="00124678"/>
    <w:rsid w:val="00124BB1"/>
    <w:rsid w:val="001265F2"/>
    <w:rsid w:val="00126AF2"/>
    <w:rsid w:val="00132B25"/>
    <w:rsid w:val="00135C0C"/>
    <w:rsid w:val="00144426"/>
    <w:rsid w:val="00146A95"/>
    <w:rsid w:val="00146DBB"/>
    <w:rsid w:val="0015238E"/>
    <w:rsid w:val="001568C1"/>
    <w:rsid w:val="00173A14"/>
    <w:rsid w:val="00174344"/>
    <w:rsid w:val="00175049"/>
    <w:rsid w:val="0018297E"/>
    <w:rsid w:val="00186098"/>
    <w:rsid w:val="00187039"/>
    <w:rsid w:val="001874DD"/>
    <w:rsid w:val="001930F1"/>
    <w:rsid w:val="001A5C4D"/>
    <w:rsid w:val="001C336C"/>
    <w:rsid w:val="001C7238"/>
    <w:rsid w:val="001C7D7B"/>
    <w:rsid w:val="001D1474"/>
    <w:rsid w:val="001D1A9D"/>
    <w:rsid w:val="001D65C2"/>
    <w:rsid w:val="001E0EC6"/>
    <w:rsid w:val="001E1D6E"/>
    <w:rsid w:val="001E1F77"/>
    <w:rsid w:val="001E254A"/>
    <w:rsid w:val="001E26E5"/>
    <w:rsid w:val="001F0D5E"/>
    <w:rsid w:val="001F1AD0"/>
    <w:rsid w:val="001F1B16"/>
    <w:rsid w:val="001F2638"/>
    <w:rsid w:val="0020418E"/>
    <w:rsid w:val="00205E35"/>
    <w:rsid w:val="00207D06"/>
    <w:rsid w:val="00212B1D"/>
    <w:rsid w:val="00213A97"/>
    <w:rsid w:val="0021555F"/>
    <w:rsid w:val="00221C38"/>
    <w:rsid w:val="002250E9"/>
    <w:rsid w:val="00226B14"/>
    <w:rsid w:val="0023063F"/>
    <w:rsid w:val="00232A40"/>
    <w:rsid w:val="00234418"/>
    <w:rsid w:val="0024276B"/>
    <w:rsid w:val="00243E49"/>
    <w:rsid w:val="00247C14"/>
    <w:rsid w:val="002506DE"/>
    <w:rsid w:val="0025367F"/>
    <w:rsid w:val="00256345"/>
    <w:rsid w:val="00257023"/>
    <w:rsid w:val="0025728B"/>
    <w:rsid w:val="002646BE"/>
    <w:rsid w:val="00266806"/>
    <w:rsid w:val="002747C3"/>
    <w:rsid w:val="00290792"/>
    <w:rsid w:val="0029133D"/>
    <w:rsid w:val="002913CC"/>
    <w:rsid w:val="00295E15"/>
    <w:rsid w:val="002972D0"/>
    <w:rsid w:val="002A34D3"/>
    <w:rsid w:val="002A496E"/>
    <w:rsid w:val="002A62E0"/>
    <w:rsid w:val="002A7372"/>
    <w:rsid w:val="002A7DFD"/>
    <w:rsid w:val="002B0683"/>
    <w:rsid w:val="002B1998"/>
    <w:rsid w:val="002B3407"/>
    <w:rsid w:val="002B4BA8"/>
    <w:rsid w:val="002B5865"/>
    <w:rsid w:val="002B7195"/>
    <w:rsid w:val="002C394B"/>
    <w:rsid w:val="002C5672"/>
    <w:rsid w:val="002C5DC4"/>
    <w:rsid w:val="002D2630"/>
    <w:rsid w:val="002D42AA"/>
    <w:rsid w:val="002E25DF"/>
    <w:rsid w:val="002E4657"/>
    <w:rsid w:val="002E755C"/>
    <w:rsid w:val="002F1723"/>
    <w:rsid w:val="002F4E6C"/>
    <w:rsid w:val="002F56E6"/>
    <w:rsid w:val="00302E94"/>
    <w:rsid w:val="00305D2B"/>
    <w:rsid w:val="003110FE"/>
    <w:rsid w:val="00315FD3"/>
    <w:rsid w:val="003214BF"/>
    <w:rsid w:val="003246DC"/>
    <w:rsid w:val="00326294"/>
    <w:rsid w:val="00336848"/>
    <w:rsid w:val="003460BB"/>
    <w:rsid w:val="003462F8"/>
    <w:rsid w:val="00355978"/>
    <w:rsid w:val="003601D0"/>
    <w:rsid w:val="0036122D"/>
    <w:rsid w:val="0036136C"/>
    <w:rsid w:val="00361ED1"/>
    <w:rsid w:val="003701BC"/>
    <w:rsid w:val="0037119C"/>
    <w:rsid w:val="00373CEE"/>
    <w:rsid w:val="00392DCF"/>
    <w:rsid w:val="00394C7E"/>
    <w:rsid w:val="0039593C"/>
    <w:rsid w:val="003A343A"/>
    <w:rsid w:val="003A718E"/>
    <w:rsid w:val="003B00B1"/>
    <w:rsid w:val="003C141F"/>
    <w:rsid w:val="003C220B"/>
    <w:rsid w:val="003D1F31"/>
    <w:rsid w:val="003D30A3"/>
    <w:rsid w:val="003D6395"/>
    <w:rsid w:val="003E1845"/>
    <w:rsid w:val="003E1A9F"/>
    <w:rsid w:val="003E5714"/>
    <w:rsid w:val="003E60FF"/>
    <w:rsid w:val="003F4EF2"/>
    <w:rsid w:val="003F517E"/>
    <w:rsid w:val="004050DA"/>
    <w:rsid w:val="004212EA"/>
    <w:rsid w:val="0042392E"/>
    <w:rsid w:val="004302AD"/>
    <w:rsid w:val="00433C9F"/>
    <w:rsid w:val="0043610E"/>
    <w:rsid w:val="00440E53"/>
    <w:rsid w:val="00442B26"/>
    <w:rsid w:val="004443F8"/>
    <w:rsid w:val="004447AD"/>
    <w:rsid w:val="0044635D"/>
    <w:rsid w:val="00446C2A"/>
    <w:rsid w:val="00451C15"/>
    <w:rsid w:val="0045347B"/>
    <w:rsid w:val="004540D9"/>
    <w:rsid w:val="004701B3"/>
    <w:rsid w:val="0047146D"/>
    <w:rsid w:val="0048291C"/>
    <w:rsid w:val="00483151"/>
    <w:rsid w:val="00485444"/>
    <w:rsid w:val="004953D9"/>
    <w:rsid w:val="00497C38"/>
    <w:rsid w:val="004A4E5A"/>
    <w:rsid w:val="004A4E88"/>
    <w:rsid w:val="004B0905"/>
    <w:rsid w:val="004B7527"/>
    <w:rsid w:val="004B7C2F"/>
    <w:rsid w:val="004C6B71"/>
    <w:rsid w:val="004D47B4"/>
    <w:rsid w:val="004D4E2C"/>
    <w:rsid w:val="004D6B3C"/>
    <w:rsid w:val="004E00C9"/>
    <w:rsid w:val="004E2AD3"/>
    <w:rsid w:val="004E3301"/>
    <w:rsid w:val="004E4458"/>
    <w:rsid w:val="004E4DEC"/>
    <w:rsid w:val="004E5E9C"/>
    <w:rsid w:val="004E6BA6"/>
    <w:rsid w:val="004E7248"/>
    <w:rsid w:val="004F1B12"/>
    <w:rsid w:val="004F1B97"/>
    <w:rsid w:val="004F2FC8"/>
    <w:rsid w:val="004F3059"/>
    <w:rsid w:val="004F3A21"/>
    <w:rsid w:val="004F428F"/>
    <w:rsid w:val="004F5E13"/>
    <w:rsid w:val="005032DF"/>
    <w:rsid w:val="00516E46"/>
    <w:rsid w:val="00520A6C"/>
    <w:rsid w:val="005219CA"/>
    <w:rsid w:val="00521B12"/>
    <w:rsid w:val="00526346"/>
    <w:rsid w:val="0053254F"/>
    <w:rsid w:val="00533BD1"/>
    <w:rsid w:val="0053526F"/>
    <w:rsid w:val="00542C5C"/>
    <w:rsid w:val="00545963"/>
    <w:rsid w:val="00547AF0"/>
    <w:rsid w:val="00552C6E"/>
    <w:rsid w:val="00556095"/>
    <w:rsid w:val="005564B9"/>
    <w:rsid w:val="005605EB"/>
    <w:rsid w:val="00560679"/>
    <w:rsid w:val="0056134C"/>
    <w:rsid w:val="00563D8D"/>
    <w:rsid w:val="005721D6"/>
    <w:rsid w:val="00573139"/>
    <w:rsid w:val="005765C2"/>
    <w:rsid w:val="0058059B"/>
    <w:rsid w:val="00581574"/>
    <w:rsid w:val="005832D0"/>
    <w:rsid w:val="00584668"/>
    <w:rsid w:val="00586E35"/>
    <w:rsid w:val="0059045F"/>
    <w:rsid w:val="00592761"/>
    <w:rsid w:val="005936BC"/>
    <w:rsid w:val="00593F85"/>
    <w:rsid w:val="005A2780"/>
    <w:rsid w:val="005A65C7"/>
    <w:rsid w:val="005B17CD"/>
    <w:rsid w:val="005B2188"/>
    <w:rsid w:val="005B5044"/>
    <w:rsid w:val="005C0DEE"/>
    <w:rsid w:val="005C16CF"/>
    <w:rsid w:val="005C5185"/>
    <w:rsid w:val="005C6172"/>
    <w:rsid w:val="005D3912"/>
    <w:rsid w:val="005D4A31"/>
    <w:rsid w:val="005D4A77"/>
    <w:rsid w:val="005D56C7"/>
    <w:rsid w:val="005D724D"/>
    <w:rsid w:val="005D7F08"/>
    <w:rsid w:val="005E1D91"/>
    <w:rsid w:val="005E2075"/>
    <w:rsid w:val="005E2210"/>
    <w:rsid w:val="005F6403"/>
    <w:rsid w:val="005F7DFB"/>
    <w:rsid w:val="0060138A"/>
    <w:rsid w:val="00604989"/>
    <w:rsid w:val="00607ADB"/>
    <w:rsid w:val="006106D7"/>
    <w:rsid w:val="006113A8"/>
    <w:rsid w:val="00614005"/>
    <w:rsid w:val="00616791"/>
    <w:rsid w:val="0062188E"/>
    <w:rsid w:val="00624C89"/>
    <w:rsid w:val="00626F72"/>
    <w:rsid w:val="00634B1C"/>
    <w:rsid w:val="00640C03"/>
    <w:rsid w:val="00641D33"/>
    <w:rsid w:val="00641E20"/>
    <w:rsid w:val="00643046"/>
    <w:rsid w:val="006457F0"/>
    <w:rsid w:val="00650EA1"/>
    <w:rsid w:val="00661D04"/>
    <w:rsid w:val="0066296E"/>
    <w:rsid w:val="0066526D"/>
    <w:rsid w:val="00667EB7"/>
    <w:rsid w:val="00671478"/>
    <w:rsid w:val="00672AD3"/>
    <w:rsid w:val="006863E0"/>
    <w:rsid w:val="00694695"/>
    <w:rsid w:val="0069473B"/>
    <w:rsid w:val="0069567A"/>
    <w:rsid w:val="006A3247"/>
    <w:rsid w:val="006A554E"/>
    <w:rsid w:val="006A55E9"/>
    <w:rsid w:val="006B1997"/>
    <w:rsid w:val="006B4D7E"/>
    <w:rsid w:val="006B7FF1"/>
    <w:rsid w:val="006C0B5F"/>
    <w:rsid w:val="006C3EA2"/>
    <w:rsid w:val="006C5CAB"/>
    <w:rsid w:val="006C7534"/>
    <w:rsid w:val="006D2B0D"/>
    <w:rsid w:val="006D34F6"/>
    <w:rsid w:val="006D388F"/>
    <w:rsid w:val="006D4356"/>
    <w:rsid w:val="006D5617"/>
    <w:rsid w:val="006E0249"/>
    <w:rsid w:val="006E5280"/>
    <w:rsid w:val="006F4931"/>
    <w:rsid w:val="00700A01"/>
    <w:rsid w:val="00700C7A"/>
    <w:rsid w:val="007010AA"/>
    <w:rsid w:val="007076ED"/>
    <w:rsid w:val="00713272"/>
    <w:rsid w:val="00715864"/>
    <w:rsid w:val="0072097E"/>
    <w:rsid w:val="00722FF9"/>
    <w:rsid w:val="00723D0E"/>
    <w:rsid w:val="00725281"/>
    <w:rsid w:val="007259AD"/>
    <w:rsid w:val="00730322"/>
    <w:rsid w:val="00730A8A"/>
    <w:rsid w:val="00730FB1"/>
    <w:rsid w:val="00733D06"/>
    <w:rsid w:val="00734BEE"/>
    <w:rsid w:val="007375EA"/>
    <w:rsid w:val="0074334B"/>
    <w:rsid w:val="00745C7C"/>
    <w:rsid w:val="00745D2F"/>
    <w:rsid w:val="00751FA6"/>
    <w:rsid w:val="007563C0"/>
    <w:rsid w:val="00762152"/>
    <w:rsid w:val="00771843"/>
    <w:rsid w:val="00773AC9"/>
    <w:rsid w:val="00776C00"/>
    <w:rsid w:val="007832C5"/>
    <w:rsid w:val="00783B6A"/>
    <w:rsid w:val="007906CE"/>
    <w:rsid w:val="00791488"/>
    <w:rsid w:val="00793229"/>
    <w:rsid w:val="00793B77"/>
    <w:rsid w:val="00794625"/>
    <w:rsid w:val="00797DB2"/>
    <w:rsid w:val="007B1229"/>
    <w:rsid w:val="007B3A3F"/>
    <w:rsid w:val="007B65F1"/>
    <w:rsid w:val="007C72E0"/>
    <w:rsid w:val="007C768D"/>
    <w:rsid w:val="007C7AD1"/>
    <w:rsid w:val="007C7F72"/>
    <w:rsid w:val="007D6530"/>
    <w:rsid w:val="007E6654"/>
    <w:rsid w:val="007F1A4B"/>
    <w:rsid w:val="007F596D"/>
    <w:rsid w:val="00800A10"/>
    <w:rsid w:val="008041B6"/>
    <w:rsid w:val="00805B43"/>
    <w:rsid w:val="008061CE"/>
    <w:rsid w:val="00810A62"/>
    <w:rsid w:val="00815A56"/>
    <w:rsid w:val="00823508"/>
    <w:rsid w:val="00826611"/>
    <w:rsid w:val="008307D8"/>
    <w:rsid w:val="00842AE9"/>
    <w:rsid w:val="008452E6"/>
    <w:rsid w:val="008467F0"/>
    <w:rsid w:val="00847302"/>
    <w:rsid w:val="00850711"/>
    <w:rsid w:val="00852B62"/>
    <w:rsid w:val="008570F7"/>
    <w:rsid w:val="00861867"/>
    <w:rsid w:val="00865DAF"/>
    <w:rsid w:val="00886CCE"/>
    <w:rsid w:val="00891A7A"/>
    <w:rsid w:val="00894E32"/>
    <w:rsid w:val="008A04FE"/>
    <w:rsid w:val="008A0512"/>
    <w:rsid w:val="008A32B8"/>
    <w:rsid w:val="008A5656"/>
    <w:rsid w:val="008A70E6"/>
    <w:rsid w:val="008B2990"/>
    <w:rsid w:val="008B3FC1"/>
    <w:rsid w:val="008B5601"/>
    <w:rsid w:val="008B57E9"/>
    <w:rsid w:val="008B7C5E"/>
    <w:rsid w:val="008C0E91"/>
    <w:rsid w:val="008D3ED6"/>
    <w:rsid w:val="008D6915"/>
    <w:rsid w:val="008E75E4"/>
    <w:rsid w:val="008F222F"/>
    <w:rsid w:val="008F23BB"/>
    <w:rsid w:val="008F72C6"/>
    <w:rsid w:val="00902E5B"/>
    <w:rsid w:val="009076FD"/>
    <w:rsid w:val="009104C5"/>
    <w:rsid w:val="00911BE8"/>
    <w:rsid w:val="00913350"/>
    <w:rsid w:val="00913490"/>
    <w:rsid w:val="009134C2"/>
    <w:rsid w:val="00915D8C"/>
    <w:rsid w:val="009207C4"/>
    <w:rsid w:val="00920D3E"/>
    <w:rsid w:val="00921CFD"/>
    <w:rsid w:val="00926917"/>
    <w:rsid w:val="00930CB7"/>
    <w:rsid w:val="00937BFD"/>
    <w:rsid w:val="00941403"/>
    <w:rsid w:val="009416B7"/>
    <w:rsid w:val="00953EE9"/>
    <w:rsid w:val="009642E7"/>
    <w:rsid w:val="00972A66"/>
    <w:rsid w:val="009740B0"/>
    <w:rsid w:val="00976498"/>
    <w:rsid w:val="0097783A"/>
    <w:rsid w:val="00980511"/>
    <w:rsid w:val="009830C1"/>
    <w:rsid w:val="00984184"/>
    <w:rsid w:val="00993B69"/>
    <w:rsid w:val="00995C32"/>
    <w:rsid w:val="00995D7A"/>
    <w:rsid w:val="009A1B63"/>
    <w:rsid w:val="009A69A8"/>
    <w:rsid w:val="009A7423"/>
    <w:rsid w:val="009B29C2"/>
    <w:rsid w:val="009B62E5"/>
    <w:rsid w:val="009C17F6"/>
    <w:rsid w:val="009C3C26"/>
    <w:rsid w:val="009C42EE"/>
    <w:rsid w:val="009C55DD"/>
    <w:rsid w:val="009C5B8F"/>
    <w:rsid w:val="009C7B81"/>
    <w:rsid w:val="009D0864"/>
    <w:rsid w:val="009D300F"/>
    <w:rsid w:val="009D3939"/>
    <w:rsid w:val="009D3E64"/>
    <w:rsid w:val="009D59AD"/>
    <w:rsid w:val="009E0D33"/>
    <w:rsid w:val="009E3B15"/>
    <w:rsid w:val="009E6C3E"/>
    <w:rsid w:val="00A01755"/>
    <w:rsid w:val="00A02D95"/>
    <w:rsid w:val="00A1628E"/>
    <w:rsid w:val="00A16548"/>
    <w:rsid w:val="00A16DA4"/>
    <w:rsid w:val="00A20EF8"/>
    <w:rsid w:val="00A246DB"/>
    <w:rsid w:val="00A269E4"/>
    <w:rsid w:val="00A26DE5"/>
    <w:rsid w:val="00A34057"/>
    <w:rsid w:val="00A35376"/>
    <w:rsid w:val="00A4059B"/>
    <w:rsid w:val="00A44DBA"/>
    <w:rsid w:val="00A45F47"/>
    <w:rsid w:val="00A51690"/>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56AE"/>
    <w:rsid w:val="00AA6916"/>
    <w:rsid w:val="00AA78BD"/>
    <w:rsid w:val="00AB1331"/>
    <w:rsid w:val="00AC36DB"/>
    <w:rsid w:val="00AC6B40"/>
    <w:rsid w:val="00AD5AAD"/>
    <w:rsid w:val="00AD5D77"/>
    <w:rsid w:val="00AD5E8B"/>
    <w:rsid w:val="00AF2752"/>
    <w:rsid w:val="00B00173"/>
    <w:rsid w:val="00B055EB"/>
    <w:rsid w:val="00B06333"/>
    <w:rsid w:val="00B14DFC"/>
    <w:rsid w:val="00B15A6C"/>
    <w:rsid w:val="00B205DD"/>
    <w:rsid w:val="00B244FD"/>
    <w:rsid w:val="00B252A4"/>
    <w:rsid w:val="00B335C2"/>
    <w:rsid w:val="00B361C1"/>
    <w:rsid w:val="00B41F1A"/>
    <w:rsid w:val="00B43557"/>
    <w:rsid w:val="00B51AFB"/>
    <w:rsid w:val="00B53842"/>
    <w:rsid w:val="00B547BD"/>
    <w:rsid w:val="00B54D21"/>
    <w:rsid w:val="00B62AF4"/>
    <w:rsid w:val="00B638D8"/>
    <w:rsid w:val="00B77094"/>
    <w:rsid w:val="00B8227D"/>
    <w:rsid w:val="00B8276A"/>
    <w:rsid w:val="00B83951"/>
    <w:rsid w:val="00B858B3"/>
    <w:rsid w:val="00B90D64"/>
    <w:rsid w:val="00B93610"/>
    <w:rsid w:val="00B93DE2"/>
    <w:rsid w:val="00BA05E1"/>
    <w:rsid w:val="00BA37D8"/>
    <w:rsid w:val="00BA42A5"/>
    <w:rsid w:val="00BA46EA"/>
    <w:rsid w:val="00BA56FF"/>
    <w:rsid w:val="00BB1391"/>
    <w:rsid w:val="00BC45AB"/>
    <w:rsid w:val="00BD19DE"/>
    <w:rsid w:val="00BD49B1"/>
    <w:rsid w:val="00BD6DF6"/>
    <w:rsid w:val="00BD7993"/>
    <w:rsid w:val="00BE1926"/>
    <w:rsid w:val="00BE49C2"/>
    <w:rsid w:val="00BE5213"/>
    <w:rsid w:val="00BF0B6E"/>
    <w:rsid w:val="00BF3B0E"/>
    <w:rsid w:val="00BF3FA6"/>
    <w:rsid w:val="00BF4191"/>
    <w:rsid w:val="00BF49EF"/>
    <w:rsid w:val="00C0316C"/>
    <w:rsid w:val="00C1182E"/>
    <w:rsid w:val="00C2247A"/>
    <w:rsid w:val="00C233EC"/>
    <w:rsid w:val="00C238A2"/>
    <w:rsid w:val="00C23B3C"/>
    <w:rsid w:val="00C43DB0"/>
    <w:rsid w:val="00C45887"/>
    <w:rsid w:val="00C521B2"/>
    <w:rsid w:val="00C525EA"/>
    <w:rsid w:val="00C559EF"/>
    <w:rsid w:val="00C66262"/>
    <w:rsid w:val="00C669A0"/>
    <w:rsid w:val="00C70B9B"/>
    <w:rsid w:val="00C71B92"/>
    <w:rsid w:val="00C73B43"/>
    <w:rsid w:val="00C82886"/>
    <w:rsid w:val="00C85171"/>
    <w:rsid w:val="00C86FEE"/>
    <w:rsid w:val="00C9016E"/>
    <w:rsid w:val="00C901C5"/>
    <w:rsid w:val="00C908C5"/>
    <w:rsid w:val="00C92B67"/>
    <w:rsid w:val="00C9543A"/>
    <w:rsid w:val="00CA0717"/>
    <w:rsid w:val="00CA4CD2"/>
    <w:rsid w:val="00CA4FB7"/>
    <w:rsid w:val="00CA7A74"/>
    <w:rsid w:val="00CB06F5"/>
    <w:rsid w:val="00CB171A"/>
    <w:rsid w:val="00CB1A8F"/>
    <w:rsid w:val="00CB68CD"/>
    <w:rsid w:val="00CC0EFD"/>
    <w:rsid w:val="00CC21AC"/>
    <w:rsid w:val="00CD03CC"/>
    <w:rsid w:val="00CD0528"/>
    <w:rsid w:val="00CD1EE0"/>
    <w:rsid w:val="00CE2938"/>
    <w:rsid w:val="00CE32C4"/>
    <w:rsid w:val="00CF0319"/>
    <w:rsid w:val="00CF41D3"/>
    <w:rsid w:val="00CF45E8"/>
    <w:rsid w:val="00CF7A74"/>
    <w:rsid w:val="00D0207A"/>
    <w:rsid w:val="00D02B78"/>
    <w:rsid w:val="00D12BE1"/>
    <w:rsid w:val="00D142D3"/>
    <w:rsid w:val="00D21E68"/>
    <w:rsid w:val="00D249D3"/>
    <w:rsid w:val="00D3048F"/>
    <w:rsid w:val="00D3120D"/>
    <w:rsid w:val="00D32B0A"/>
    <w:rsid w:val="00D37A43"/>
    <w:rsid w:val="00D407EA"/>
    <w:rsid w:val="00D47B33"/>
    <w:rsid w:val="00D50C2E"/>
    <w:rsid w:val="00D53A57"/>
    <w:rsid w:val="00D54561"/>
    <w:rsid w:val="00D70A35"/>
    <w:rsid w:val="00D72E94"/>
    <w:rsid w:val="00D7349B"/>
    <w:rsid w:val="00D737B0"/>
    <w:rsid w:val="00D75B02"/>
    <w:rsid w:val="00D83117"/>
    <w:rsid w:val="00D852A2"/>
    <w:rsid w:val="00D93F55"/>
    <w:rsid w:val="00DA2F7C"/>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4A80"/>
    <w:rsid w:val="00E14A81"/>
    <w:rsid w:val="00E16271"/>
    <w:rsid w:val="00E17A8F"/>
    <w:rsid w:val="00E211BE"/>
    <w:rsid w:val="00E21237"/>
    <w:rsid w:val="00E21725"/>
    <w:rsid w:val="00E22DA5"/>
    <w:rsid w:val="00E2659C"/>
    <w:rsid w:val="00E31425"/>
    <w:rsid w:val="00E33812"/>
    <w:rsid w:val="00E341BA"/>
    <w:rsid w:val="00E351AC"/>
    <w:rsid w:val="00E37C96"/>
    <w:rsid w:val="00E40020"/>
    <w:rsid w:val="00E41ECD"/>
    <w:rsid w:val="00E44E44"/>
    <w:rsid w:val="00E46A71"/>
    <w:rsid w:val="00E5655A"/>
    <w:rsid w:val="00E57490"/>
    <w:rsid w:val="00E622C1"/>
    <w:rsid w:val="00E6405E"/>
    <w:rsid w:val="00E75AAC"/>
    <w:rsid w:val="00E82C1F"/>
    <w:rsid w:val="00E85CDC"/>
    <w:rsid w:val="00E86B52"/>
    <w:rsid w:val="00E91100"/>
    <w:rsid w:val="00E9449B"/>
    <w:rsid w:val="00E94DB2"/>
    <w:rsid w:val="00EA1229"/>
    <w:rsid w:val="00EA2398"/>
    <w:rsid w:val="00EA24C0"/>
    <w:rsid w:val="00EA397C"/>
    <w:rsid w:val="00EA6062"/>
    <w:rsid w:val="00EB033F"/>
    <w:rsid w:val="00EB0B15"/>
    <w:rsid w:val="00EB1C81"/>
    <w:rsid w:val="00EB31C1"/>
    <w:rsid w:val="00EB6A4A"/>
    <w:rsid w:val="00EC44AB"/>
    <w:rsid w:val="00EC71E0"/>
    <w:rsid w:val="00ED0F93"/>
    <w:rsid w:val="00ED3BE3"/>
    <w:rsid w:val="00ED4FB8"/>
    <w:rsid w:val="00EE27A8"/>
    <w:rsid w:val="00EE2D30"/>
    <w:rsid w:val="00EE398A"/>
    <w:rsid w:val="00EF2238"/>
    <w:rsid w:val="00EF293C"/>
    <w:rsid w:val="00EF3B57"/>
    <w:rsid w:val="00F010C3"/>
    <w:rsid w:val="00F0430A"/>
    <w:rsid w:val="00F109A6"/>
    <w:rsid w:val="00F124E9"/>
    <w:rsid w:val="00F2372F"/>
    <w:rsid w:val="00F23CF9"/>
    <w:rsid w:val="00F24B3C"/>
    <w:rsid w:val="00F25DA2"/>
    <w:rsid w:val="00F2778F"/>
    <w:rsid w:val="00F36D6F"/>
    <w:rsid w:val="00F37A08"/>
    <w:rsid w:val="00F40967"/>
    <w:rsid w:val="00F413A3"/>
    <w:rsid w:val="00F4720D"/>
    <w:rsid w:val="00F50685"/>
    <w:rsid w:val="00F50FE4"/>
    <w:rsid w:val="00F521BE"/>
    <w:rsid w:val="00F6276B"/>
    <w:rsid w:val="00F6376F"/>
    <w:rsid w:val="00F65C56"/>
    <w:rsid w:val="00F66030"/>
    <w:rsid w:val="00F74459"/>
    <w:rsid w:val="00F74592"/>
    <w:rsid w:val="00F8178E"/>
    <w:rsid w:val="00F85EAD"/>
    <w:rsid w:val="00F866D0"/>
    <w:rsid w:val="00F90F24"/>
    <w:rsid w:val="00FA1B9F"/>
    <w:rsid w:val="00FA1FF7"/>
    <w:rsid w:val="00FA3936"/>
    <w:rsid w:val="00FA48C9"/>
    <w:rsid w:val="00FB3CD6"/>
    <w:rsid w:val="00FB6E53"/>
    <w:rsid w:val="00FC06C6"/>
    <w:rsid w:val="00FC1331"/>
    <w:rsid w:val="00FD18A9"/>
    <w:rsid w:val="00FD2EAF"/>
    <w:rsid w:val="00FD3BE1"/>
    <w:rsid w:val="00FD75C5"/>
    <w:rsid w:val="00FE3698"/>
    <w:rsid w:val="00FE40FD"/>
    <w:rsid w:val="00FE6E94"/>
    <w:rsid w:val="00FF3E7F"/>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E0A1E"/>
  <w15:chartTrackingRefBased/>
  <w15:docId w15:val="{F70466A2-3332-4E1F-9C3B-59FD080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E94"/>
    <w:pPr>
      <w:spacing w:after="240"/>
      <w:jc w:val="both"/>
    </w:pPr>
    <w:rPr>
      <w:sz w:val="24"/>
      <w:lang w:val="sq"/>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D72E94"/>
    <w:pPr>
      <w:spacing w:after="6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sq"/>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semiHidden/>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sq"/>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913490"/>
    <w:pPr>
      <w:numPr>
        <w:numId w:val="0"/>
      </w:numPr>
      <w:spacing w:before="240" w:after="120"/>
      <w:ind w:left="567" w:hanging="567"/>
    </w:pPr>
    <w:rPr>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lang w:val="sq"/>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CE2938"/>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styleId="Strong">
    <w:name w:val="Strong"/>
    <w:uiPriority w:val="22"/>
    <w:qFormat/>
    <w:rsid w:val="00601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04083-284A-40A1-BC22-F332CCBF29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50A99-551D-4ADA-B729-966D4F065693}">
  <ds:schemaRefs>
    <ds:schemaRef ds:uri="http://schemas.microsoft.com/sharepoint/v3/contenttype/forms"/>
  </ds:schemaRefs>
</ds:datastoreItem>
</file>

<file path=customXml/itemProps3.xml><?xml version="1.0" encoding="utf-8"?>
<ds:datastoreItem xmlns:ds="http://schemas.openxmlformats.org/officeDocument/2006/customXml" ds:itemID="{A5FCE9E7-7F43-4261-9BB2-5C1C7C8F4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3D3D2-4969-4366-9B5B-AF43BACB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313</TotalTime>
  <Pages>1</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Ana kamberaj</cp:lastModifiedBy>
  <cp:revision>34</cp:revision>
  <cp:lastPrinted>2014-03-20T14:50:00Z</cp:lastPrinted>
  <dcterms:created xsi:type="dcterms:W3CDTF">2018-12-18T11:13:00Z</dcterms:created>
  <dcterms:modified xsi:type="dcterms:W3CDTF">2026-06-23T11:11:00Z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1244235845</vt:i4>
  </property>
  <property fmtid="{D5CDD505-2E9C-101B-9397-08002B2CF9AE}" pid="7" name="_ReviewingToolsShownOnce">
    <vt:lpwstr/>
  </property>
  <property fmtid="{D5CDD505-2E9C-101B-9397-08002B2CF9AE}" pid="8" name="Checked by">
    <vt:lpwstr>cajalja</vt:lpwstr>
  </property>
  <property fmtid="{D5CDD505-2E9C-101B-9397-08002B2CF9AE}" pid="9" name="Editor">
    <vt:lpwstr>kilbyrn</vt:lpwstr>
  </property>
  <property fmtid="{D5CDD505-2E9C-101B-9397-08002B2CF9AE}" pid="10" name="ELDocType">
    <vt:lpwstr>REP.DOT</vt:lpwstr>
  </property>
  <property fmtid="{D5CDD505-2E9C-101B-9397-08002B2CF9AE}" pid="11" name="ContentTypeId">
    <vt:lpwstr>0x010100263B1F5D7841074CBE2E963D24797DAD</vt:lpwstr>
  </property>
</Properties>
</file>