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F98" w:rsidRDefault="002F1F98" w:rsidP="002F1F98">
      <w:pPr>
        <w:spacing w:before="100" w:beforeAutospacing="1" w:after="100" w:afterAutospacing="1" w:line="240" w:lineRule="auto"/>
        <w:rPr>
          <w:rFonts w:ascii="Times New Roman" w:eastAsia="Times New Roman" w:hAnsi="Times New Roman" w:cs="Times New Roman"/>
          <w:b/>
          <w:bCs/>
          <w:sz w:val="24"/>
          <w:szCs w:val="24"/>
        </w:rPr>
      </w:pPr>
      <w:r w:rsidRPr="0069366C">
        <w:rPr>
          <w:noProof/>
        </w:rPr>
        <w:drawing>
          <wp:anchor distT="0" distB="0" distL="114300" distR="114300" simplePos="0" relativeHeight="251659264" behindDoc="0" locked="0" layoutInCell="1" allowOverlap="1" wp14:anchorId="524B6503" wp14:editId="316EFC22">
            <wp:simplePos x="0" y="0"/>
            <wp:positionH relativeFrom="margin">
              <wp:align>center</wp:align>
            </wp:positionH>
            <wp:positionV relativeFrom="paragraph">
              <wp:posOffset>190500</wp:posOffset>
            </wp:positionV>
            <wp:extent cx="548005" cy="639445"/>
            <wp:effectExtent l="0" t="0" r="4445"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F98" w:rsidRDefault="002F1F98" w:rsidP="002F1F98">
      <w:pPr>
        <w:jc w:val="center"/>
      </w:pPr>
    </w:p>
    <w:p w:rsidR="002F1F98" w:rsidRPr="00C43DFB" w:rsidRDefault="002F1F98" w:rsidP="002F1F98">
      <w:pPr>
        <w:spacing w:after="0"/>
        <w:jc w:val="center"/>
        <w:rPr>
          <w:lang w:val="it-IT"/>
        </w:rPr>
      </w:pPr>
      <w:r w:rsidRPr="00C43DFB">
        <w:rPr>
          <w:lang w:val="it-IT"/>
        </w:rPr>
        <w:t>________________________________ _________________________________</w:t>
      </w:r>
    </w:p>
    <w:p w:rsidR="002F1F98" w:rsidRPr="00C43DFB" w:rsidRDefault="002F1F98" w:rsidP="002F1F98">
      <w:pPr>
        <w:spacing w:after="0" w:line="276" w:lineRule="auto"/>
        <w:jc w:val="center"/>
        <w:rPr>
          <w:lang w:val="it-IT"/>
        </w:rPr>
      </w:pPr>
    </w:p>
    <w:p w:rsidR="002F1F98" w:rsidRPr="00DC7FB1" w:rsidRDefault="002F1F98" w:rsidP="002F1F98">
      <w:pPr>
        <w:spacing w:after="0" w:line="276" w:lineRule="auto"/>
        <w:jc w:val="center"/>
        <w:rPr>
          <w:rFonts w:cstheme="minorHAnsi"/>
          <w:b/>
          <w:lang w:val="it-IT"/>
        </w:rPr>
      </w:pPr>
      <w:r w:rsidRPr="00DC7FB1">
        <w:rPr>
          <w:rFonts w:cstheme="minorHAnsi"/>
          <w:b/>
          <w:lang w:val="it-IT"/>
        </w:rPr>
        <w:t>R E P U B L I K A  E  SH Q I P Ë R I S Ë</w:t>
      </w:r>
    </w:p>
    <w:p w:rsidR="002F1F98" w:rsidRPr="002F1F98" w:rsidRDefault="002F1F98" w:rsidP="002F1F98">
      <w:pPr>
        <w:tabs>
          <w:tab w:val="left" w:pos="2771"/>
          <w:tab w:val="center" w:pos="4252"/>
        </w:tabs>
        <w:spacing w:after="0" w:line="276" w:lineRule="auto"/>
        <w:jc w:val="center"/>
        <w:rPr>
          <w:rFonts w:ascii="Times New Roman" w:hAnsi="Times New Roman" w:cs="Times New Roman"/>
          <w:b/>
          <w:sz w:val="24"/>
          <w:szCs w:val="24"/>
        </w:rPr>
      </w:pPr>
      <w:r w:rsidRPr="002F1F98">
        <w:rPr>
          <w:rFonts w:ascii="Times New Roman" w:hAnsi="Times New Roman" w:cs="Times New Roman"/>
          <w:b/>
          <w:sz w:val="24"/>
          <w:szCs w:val="24"/>
        </w:rPr>
        <w:t>BASHKIA VLORË</w:t>
      </w:r>
    </w:p>
    <w:p w:rsidR="002F1F98" w:rsidRPr="002F1F98" w:rsidRDefault="00DD4512" w:rsidP="002F1F98">
      <w:pPr>
        <w:tabs>
          <w:tab w:val="left" w:pos="2771"/>
          <w:tab w:val="center" w:pos="4252"/>
        </w:tabs>
        <w:spacing w:after="0" w:line="276" w:lineRule="auto"/>
        <w:jc w:val="center"/>
        <w:rPr>
          <w:rFonts w:ascii="Times New Roman" w:hAnsi="Times New Roman" w:cs="Times New Roman"/>
          <w:b/>
          <w:szCs w:val="24"/>
        </w:rPr>
      </w:pPr>
      <w:r>
        <w:rPr>
          <w:rFonts w:ascii="Times New Roman" w:hAnsi="Times New Roman" w:cs="Times New Roman"/>
          <w:b/>
          <w:szCs w:val="24"/>
        </w:rPr>
        <w:t xml:space="preserve"> </w:t>
      </w:r>
    </w:p>
    <w:p w:rsidR="002F1F98" w:rsidRDefault="002F1F98" w:rsidP="002F1F98">
      <w:pPr>
        <w:tabs>
          <w:tab w:val="left" w:pos="2771"/>
          <w:tab w:val="center" w:pos="4252"/>
        </w:tabs>
        <w:spacing w:after="0" w:line="276" w:lineRule="auto"/>
        <w:jc w:val="center"/>
        <w:rPr>
          <w:b/>
          <w:szCs w:val="24"/>
        </w:rPr>
      </w:pPr>
    </w:p>
    <w:p w:rsidR="002F1F98" w:rsidRDefault="002F1F98" w:rsidP="002F1F98">
      <w:pPr>
        <w:spacing w:after="0" w:line="360" w:lineRule="auto"/>
        <w:rPr>
          <w:sz w:val="24"/>
          <w:szCs w:val="24"/>
          <w:lang w:val="fr-FR"/>
        </w:rPr>
      </w:pPr>
      <w:r w:rsidRPr="0055488B">
        <w:rPr>
          <w:sz w:val="24"/>
          <w:szCs w:val="24"/>
          <w:lang w:val="fr-FR"/>
        </w:rPr>
        <w:t>Nr. __________prot.                                                              Vlorë, më _____._____2026</w:t>
      </w:r>
    </w:p>
    <w:p w:rsid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Lënda: Udhëzime për ofertuesit</w:t>
      </w:r>
    </w:p>
    <w:p w:rsid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UDHËZIME PËR OFERTUESIT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REFERENCA: SA-0300384 – SPICE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xml:space="preserve">Ekspertizë e jashtme për aktivitetet e komunikimit dhe organizimin e </w:t>
      </w:r>
      <w:proofErr w:type="gramStart"/>
      <w:r w:rsidRPr="002F1F98">
        <w:rPr>
          <w:rFonts w:ascii="Times New Roman" w:eastAsia="Times New Roman" w:hAnsi="Times New Roman" w:cs="Times New Roman"/>
          <w:b/>
          <w:bCs/>
          <w:sz w:val="24"/>
          <w:szCs w:val="24"/>
        </w:rPr>
        <w:t>works</w:t>
      </w:r>
      <w:r w:rsidRPr="002F1F98">
        <w:rPr>
          <w:rFonts w:ascii="Times New Roman" w:eastAsia="Times New Roman" w:hAnsi="Times New Roman" w:cs="Times New Roman"/>
          <w:sz w:val="24"/>
          <w:szCs w:val="24"/>
        </w:rPr>
        <w:t>h</w:t>
      </w:r>
      <w:r w:rsidR="008F05BF">
        <w:rPr>
          <w:rFonts w:ascii="Times New Roman" w:eastAsia="Times New Roman" w:hAnsi="Times New Roman" w:cs="Times New Roman"/>
          <w:b/>
          <w:bCs/>
          <w:sz w:val="24"/>
          <w:szCs w:val="24"/>
        </w:rPr>
        <w:t>op</w:t>
      </w:r>
      <w:bookmarkStart w:id="0" w:name="_GoBack"/>
      <w:bookmarkEnd w:id="0"/>
      <w:r w:rsidRPr="002F1F9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për</w:t>
      </w:r>
      <w:proofErr w:type="gramEnd"/>
      <w:r>
        <w:rPr>
          <w:rFonts w:ascii="Times New Roman" w:eastAsia="Times New Roman" w:hAnsi="Times New Roman" w:cs="Times New Roman"/>
          <w:b/>
          <w:bCs/>
          <w:sz w:val="24"/>
          <w:szCs w:val="24"/>
        </w:rPr>
        <w:t xml:space="preserve"> Projektin </w:t>
      </w:r>
      <w:r w:rsidRPr="002F1F98">
        <w:rPr>
          <w:rFonts w:ascii="Times New Roman" w:eastAsia="Times New Roman" w:hAnsi="Times New Roman" w:cs="Times New Roman"/>
          <w:b/>
          <w:bCs/>
          <w:sz w:val="24"/>
          <w:szCs w:val="24"/>
        </w:rPr>
        <w:t>“SA-0300384 – S</w:t>
      </w:r>
      <w:r w:rsidRPr="002F1F98">
        <w:rPr>
          <w:rFonts w:ascii="Times New Roman" w:eastAsia="Times New Roman" w:hAnsi="Times New Roman" w:cs="Times New Roman"/>
          <w:sz w:val="24"/>
          <w:szCs w:val="24"/>
        </w:rPr>
        <w:t>P</w:t>
      </w:r>
      <w:r w:rsidRPr="002F1F98">
        <w:rPr>
          <w:rFonts w:ascii="Times New Roman" w:eastAsia="Times New Roman" w:hAnsi="Times New Roman" w:cs="Times New Roman"/>
          <w:b/>
          <w:bCs/>
          <w:sz w:val="24"/>
          <w:szCs w:val="24"/>
        </w:rPr>
        <w:t>ICE – Mbështetja e inovacionit profesional në sipërmarrjen kulinare</w:t>
      </w:r>
      <w:r>
        <w:rPr>
          <w:rFonts w:ascii="Times New Roman" w:eastAsia="Times New Roman" w:hAnsi="Times New Roman" w:cs="Times New Roman"/>
          <w:b/>
          <w:bCs/>
          <w:sz w:val="24"/>
          <w:szCs w:val="24"/>
        </w:rPr>
        <w:t>”</w:t>
      </w:r>
      <w:r w:rsidRPr="002F1F98">
        <w:rPr>
          <w:rFonts w:ascii="Times New Roman" w:eastAsia="Times New Roman" w:hAnsi="Times New Roman" w:cs="Times New Roman"/>
          <w:b/>
          <w:bCs/>
          <w:sz w:val="24"/>
          <w:szCs w:val="24"/>
        </w:rPr>
        <w:t xml:space="preserve"> Urdhër nr. 1388/ Nr. </w:t>
      </w:r>
      <w:proofErr w:type="gramStart"/>
      <w:r w:rsidRPr="002F1F98">
        <w:rPr>
          <w:rFonts w:ascii="Times New Roman" w:eastAsia="Times New Roman" w:hAnsi="Times New Roman" w:cs="Times New Roman"/>
          <w:b/>
          <w:bCs/>
          <w:sz w:val="24"/>
          <w:szCs w:val="24"/>
        </w:rPr>
        <w:t>prot</w:t>
      </w:r>
      <w:proofErr w:type="gramEnd"/>
      <w:r w:rsidRPr="002F1F98">
        <w:rPr>
          <w:rFonts w:ascii="Times New Roman" w:eastAsia="Times New Roman" w:hAnsi="Times New Roman" w:cs="Times New Roman"/>
          <w:b/>
          <w:bCs/>
          <w:sz w:val="24"/>
          <w:szCs w:val="24"/>
        </w:rPr>
        <w:t>. 18386, datë 11.09.2026</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Gjatë paraqitjes së ofertave, ofertuesit duhet të ndjekin të gjitha udhëzimet, formularët, termat e referencës, dispozitat e kontratës dhe specifikimet e përfshira në këtë dosje tenderi. Mosparaqitja e një oferte që përmban të gjithë informacionin dhe dokumentacionin e kërkuar </w:t>
      </w:r>
      <w:proofErr w:type="gramStart"/>
      <w:r w:rsidRPr="002F1F98">
        <w:rPr>
          <w:rFonts w:ascii="Times New Roman" w:eastAsia="Times New Roman" w:hAnsi="Times New Roman" w:cs="Times New Roman"/>
          <w:sz w:val="24"/>
          <w:szCs w:val="24"/>
        </w:rPr>
        <w:t>brenda</w:t>
      </w:r>
      <w:proofErr w:type="gramEnd"/>
      <w:r w:rsidRPr="002F1F98">
        <w:rPr>
          <w:rFonts w:ascii="Times New Roman" w:eastAsia="Times New Roman" w:hAnsi="Times New Roman" w:cs="Times New Roman"/>
          <w:sz w:val="24"/>
          <w:szCs w:val="24"/>
        </w:rPr>
        <w:t xml:space="preserve"> afatit të përcaktuar mund të çojë në refuzimin e ofertës.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Këto udhëzime përcaktojnë rregullat për paraqitjen, përzgjedhjen dhe zbatimin e kontratave të financuara në kuadër të kësaj thirrjeje për tender, në përputhje me udhëzuesin praktik (i disponueshëm në internet në këtë adresë:</w:t>
      </w:r>
    </w:p>
    <w:p w:rsidR="002F1F98" w:rsidRPr="002F1F98" w:rsidRDefault="00E57747" w:rsidP="002F1F98">
      <w:pPr>
        <w:spacing w:before="100" w:beforeAutospacing="1" w:after="100" w:afterAutospacing="1" w:line="240" w:lineRule="auto"/>
        <w:rPr>
          <w:rFonts w:ascii="Times New Roman" w:eastAsia="Times New Roman" w:hAnsi="Times New Roman" w:cs="Times New Roman"/>
          <w:sz w:val="24"/>
          <w:szCs w:val="24"/>
        </w:rPr>
      </w:pPr>
      <w:hyperlink r:id="rId8" w:history="1">
        <w:r w:rsidR="002F1F98" w:rsidRPr="002F1F98">
          <w:rPr>
            <w:rFonts w:ascii="Times New Roman" w:eastAsia="Times New Roman" w:hAnsi="Times New Roman" w:cs="Times New Roman"/>
            <w:color w:val="0000FF"/>
            <w:sz w:val="24"/>
            <w:szCs w:val="24"/>
            <w:u w:val="single"/>
          </w:rPr>
          <w:t>https://wikis.ec.europa.eu/display/ExactExternalWiki/ePRAG</w:t>
        </w:r>
      </w:hyperlink>
      <w:r w:rsidR="002F1F98" w:rsidRPr="002F1F98">
        <w:rPr>
          <w:rFonts w:ascii="Times New Roman" w:eastAsia="Times New Roman" w:hAnsi="Times New Roman" w:cs="Times New Roman"/>
          <w:sz w:val="24"/>
          <w:szCs w:val="24"/>
        </w:rPr>
        <w:t xml:space="preserve">). </w:t>
      </w:r>
    </w:p>
    <w:p w:rsidR="002F1F98" w:rsidRPr="002F1F98" w:rsidRDefault="002F1F98" w:rsidP="002F1F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Shërbimet që do të ofrohen</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Shërbimet e kërkuara nga autoriteti kontraktues përshkruhen në termat e referencës. Ato përcaktohen në Aneksin II të projekt-kontratës, i cili përbën Pjesën B të kësaj dosjeje tenderi.</w:t>
      </w:r>
    </w:p>
    <w:p w:rsidR="002F1F98" w:rsidRPr="002F1F98" w:rsidRDefault="002F1F98" w:rsidP="002F1F9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Afatet kohore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95"/>
        <w:gridCol w:w="1687"/>
        <w:gridCol w:w="749"/>
      </w:tblGrid>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ind w:left="720"/>
              <w:rPr>
                <w:rFonts w:ascii="Times New Roman" w:eastAsia="Times New Roman" w:hAnsi="Times New Roman" w:cs="Times New Roman"/>
                <w:sz w:val="24"/>
                <w:szCs w:val="24"/>
              </w:rPr>
            </w:pP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DATA</w:t>
            </w:r>
          </w:p>
        </w:tc>
        <w:tc>
          <w:tcPr>
            <w:tcW w:w="0" w:type="auto"/>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ORA*</w:t>
            </w: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Afati për kërkimin e sqarimeve nga autoriteti kontraktues</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23/09/2026</w:t>
            </w:r>
          </w:p>
        </w:tc>
        <w:tc>
          <w:tcPr>
            <w:tcW w:w="0" w:type="auto"/>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16:00</w:t>
            </w: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lastRenderedPageBreak/>
              <w:t>Data e fundit për lëshimin e sqarimeve nga autoriteti kontraktues</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xml:space="preserve">08.10.2026 </w:t>
            </w:r>
          </w:p>
        </w:tc>
        <w:tc>
          <w:tcPr>
            <w:tcW w:w="0" w:type="auto"/>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16:00</w:t>
            </w: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Afati për paraqitjen e ofertave</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xml:space="preserve">18.10.2026 </w:t>
            </w:r>
          </w:p>
        </w:tc>
        <w:tc>
          <w:tcPr>
            <w:tcW w:w="0" w:type="auto"/>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16:00</w:t>
            </w: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Intervistat (nëse ka)</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N/A</w:t>
            </w:r>
          </w:p>
        </w:tc>
        <w:tc>
          <w:tcPr>
            <w:tcW w:w="0" w:type="auto"/>
            <w:vAlign w:val="center"/>
            <w:hideMark/>
          </w:tcPr>
          <w:p w:rsidR="002F1F98" w:rsidRPr="002F1F98" w:rsidRDefault="002F1F98" w:rsidP="002F1F98">
            <w:pPr>
              <w:spacing w:after="0" w:line="240" w:lineRule="auto"/>
              <w:rPr>
                <w:rFonts w:ascii="Times New Roman" w:eastAsia="Times New Roman" w:hAnsi="Times New Roman" w:cs="Times New Roman"/>
                <w:sz w:val="24"/>
                <w:szCs w:val="24"/>
              </w:rPr>
            </w:pP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Data e përfundimit të vlerësimit të ofertave teknike</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28.10.2026</w:t>
            </w:r>
          </w:p>
        </w:tc>
        <w:tc>
          <w:tcPr>
            <w:tcW w:w="0" w:type="auto"/>
            <w:vAlign w:val="center"/>
            <w:hideMark/>
          </w:tcPr>
          <w:p w:rsidR="002F1F98" w:rsidRPr="002F1F98" w:rsidRDefault="002F1F98" w:rsidP="002F1F98">
            <w:pPr>
              <w:spacing w:after="0" w:line="240" w:lineRule="auto"/>
              <w:rPr>
                <w:rFonts w:ascii="Times New Roman" w:eastAsia="Times New Roman" w:hAnsi="Times New Roman" w:cs="Times New Roman"/>
                <w:sz w:val="24"/>
                <w:szCs w:val="24"/>
              </w:rPr>
            </w:pP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Njoftimi i dhënies së kontratës</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xml:space="preserve">28.10.2026 </w:t>
            </w:r>
          </w:p>
        </w:tc>
        <w:tc>
          <w:tcPr>
            <w:tcW w:w="0" w:type="auto"/>
            <w:vAlign w:val="center"/>
            <w:hideMark/>
          </w:tcPr>
          <w:p w:rsidR="002F1F98" w:rsidRPr="002F1F98" w:rsidRDefault="002F1F98" w:rsidP="002F1F98">
            <w:pPr>
              <w:spacing w:after="0" w:line="240" w:lineRule="auto"/>
              <w:rPr>
                <w:rFonts w:ascii="Times New Roman" w:eastAsia="Times New Roman" w:hAnsi="Times New Roman" w:cs="Times New Roman"/>
                <w:sz w:val="24"/>
                <w:szCs w:val="24"/>
              </w:rPr>
            </w:pP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Nënshkrimi i kontratës</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09.11.2026</w:t>
            </w:r>
          </w:p>
        </w:tc>
        <w:tc>
          <w:tcPr>
            <w:tcW w:w="0" w:type="auto"/>
            <w:vAlign w:val="center"/>
            <w:hideMark/>
          </w:tcPr>
          <w:p w:rsidR="002F1F98" w:rsidRPr="002F1F98" w:rsidRDefault="002F1F98" w:rsidP="002F1F98">
            <w:pPr>
              <w:spacing w:after="0" w:line="240" w:lineRule="auto"/>
              <w:rPr>
                <w:rFonts w:ascii="Times New Roman" w:eastAsia="Times New Roman" w:hAnsi="Times New Roman" w:cs="Times New Roman"/>
                <w:sz w:val="24"/>
                <w:szCs w:val="24"/>
              </w:rPr>
            </w:pPr>
          </w:p>
        </w:tc>
      </w:tr>
      <w:tr w:rsidR="002F1F98" w:rsidRPr="002F1F98" w:rsidTr="002F1F98">
        <w:trPr>
          <w:tblCellSpacing w:w="15" w:type="dxa"/>
        </w:trPr>
        <w:tc>
          <w:tcPr>
            <w:tcW w:w="6250"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Data e fillimit të kontratës</w:t>
            </w:r>
          </w:p>
        </w:tc>
        <w:tc>
          <w:tcPr>
            <w:tcW w:w="1657" w:type="dxa"/>
            <w:vAlign w:val="center"/>
            <w:hideMark/>
          </w:tcPr>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09.11.2026 </w:t>
            </w:r>
          </w:p>
        </w:tc>
        <w:tc>
          <w:tcPr>
            <w:tcW w:w="0" w:type="auto"/>
            <w:vAlign w:val="center"/>
            <w:hideMark/>
          </w:tcPr>
          <w:p w:rsidR="002F1F98" w:rsidRPr="002F1F98" w:rsidRDefault="002F1F98" w:rsidP="002F1F98">
            <w:pPr>
              <w:spacing w:after="0" w:line="240" w:lineRule="auto"/>
              <w:rPr>
                <w:rFonts w:ascii="Times New Roman" w:eastAsia="Times New Roman" w:hAnsi="Times New Roman" w:cs="Times New Roman"/>
                <w:sz w:val="24"/>
                <w:szCs w:val="24"/>
              </w:rPr>
            </w:pPr>
          </w:p>
        </w:tc>
      </w:tr>
    </w:tbl>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Zona kohore e vendit të autoritetit kontraktues.</w:t>
      </w:r>
      <w:r w:rsidRPr="002F1F98">
        <w:rPr>
          <w:rFonts w:ascii="Times New Roman" w:eastAsia="Times New Roman" w:hAnsi="Times New Roman" w:cs="Times New Roman"/>
          <w:b/>
          <w:bCs/>
          <w:sz w:val="24"/>
          <w:szCs w:val="24"/>
        </w:rPr>
        <w:br/>
        <w:t>**</w:t>
      </w:r>
      <w:r w:rsidRPr="002F1F98">
        <w:rPr>
          <w:rFonts w:ascii="Times New Roman" w:eastAsia="Times New Roman" w:hAnsi="Times New Roman" w:cs="Times New Roman"/>
          <w:sz w:val="24"/>
          <w:szCs w:val="24"/>
          <w:vertAlign w:val="superscript"/>
        </w:rPr>
        <w:t xml:space="preserve"> D</w:t>
      </w:r>
      <w:r w:rsidRPr="002F1F98">
        <w:rPr>
          <w:rFonts w:ascii="Times New Roman" w:eastAsia="Times New Roman" w:hAnsi="Times New Roman" w:cs="Times New Roman"/>
          <w:b/>
          <w:bCs/>
          <w:sz w:val="24"/>
          <w:szCs w:val="24"/>
        </w:rPr>
        <w:t>atë paraprake.-</w:t>
      </w:r>
    </w:p>
    <w:p w:rsidR="002F1F98" w:rsidRPr="002F1F98" w:rsidRDefault="002F1F98" w:rsidP="002F1F98">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Pjesëmarrja, ekspertët dhe nënkontraktimi</w:t>
      </w:r>
    </w:p>
    <w:p w:rsidR="002F1F98" w:rsidRPr="002F1F98" w:rsidRDefault="002F1F98" w:rsidP="002F1F98">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Pjesëmarrja në këtë procedurë tenderimi është e hapur vetëm për ofertuesit e ftuar. Për kriteret e pranueshmërisë, shihni pikën 10 të njoftimit të kontratës.</w:t>
      </w:r>
    </w:p>
    <w:p w:rsidR="002F1F98" w:rsidRPr="002F1F98" w:rsidRDefault="002F1F98" w:rsidP="002F1F98">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Personat fizikë ose juridikë nuk kanë të drejtë të marrin pjesë në këtë procedurë tenderimi ose t’u jepet një kontratë nëse ndodhen në një nga situatat e përmendura në Seksionet 2.4.1 (masat kufizuese të BE-së), 2.4</w:t>
      </w:r>
      <w:hyperlink r:id="rId9" w:anchor="footnote-1" w:history="1">
        <w:r w:rsidRPr="002F1F98">
          <w:rPr>
            <w:rFonts w:ascii="Times New Roman" w:eastAsia="Times New Roman" w:hAnsi="Times New Roman" w:cs="Times New Roman"/>
            <w:color w:val="0000FF"/>
            <w:sz w:val="24"/>
            <w:szCs w:val="24"/>
            <w:u w:val="single"/>
            <w:vertAlign w:val="superscript"/>
          </w:rPr>
          <w:t>[1]</w:t>
        </w:r>
      </w:hyperlink>
      <w:r w:rsidRPr="002F1F98">
        <w:rPr>
          <w:rFonts w:ascii="Times New Roman" w:eastAsia="Times New Roman" w:hAnsi="Times New Roman" w:cs="Times New Roman"/>
          <w:sz w:val="24"/>
          <w:szCs w:val="24"/>
        </w:rPr>
        <w:t>.2.1 (kriteret e përjashtimit) ose 2.4.2.2 (refuzimi nga një procedurë e caktuar) të udhëzue</w:t>
      </w:r>
      <w:r w:rsidRPr="002F1F98">
        <w:rPr>
          <w:rFonts w:ascii="Times New Roman" w:eastAsia="Times New Roman" w:hAnsi="Times New Roman" w:cs="Times New Roman"/>
          <w:b/>
          <w:bCs/>
          <w:sz w:val="24"/>
          <w:szCs w:val="24"/>
        </w:rPr>
        <w:t>sit praktik. Nës</w:t>
      </w:r>
      <w:r w:rsidRPr="002F1F98">
        <w:rPr>
          <w:rFonts w:ascii="Times New Roman" w:eastAsia="Times New Roman" w:hAnsi="Times New Roman" w:cs="Times New Roman"/>
          <w:sz w:val="24"/>
          <w:szCs w:val="24"/>
        </w:rPr>
        <w:t>e veprojnë kështu, oferta e tyre do të konsiderohet përkatësisht e papërshtatshme ose e parregullt.</w:t>
      </w:r>
    </w:p>
    <w:p w:rsidR="002F1F98" w:rsidRPr="002F1F98" w:rsidRDefault="002F1F98" w:rsidP="002F1F98">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 rastet e renditura në Seksionin 2.4.2.1 të udh</w:t>
      </w:r>
      <w:r w:rsidRPr="002F1F98">
        <w:rPr>
          <w:rFonts w:ascii="Times New Roman" w:eastAsia="Times New Roman" w:hAnsi="Times New Roman" w:cs="Times New Roman"/>
          <w:b/>
          <w:bCs/>
          <w:sz w:val="24"/>
          <w:szCs w:val="24"/>
        </w:rPr>
        <w:t>ëzuesit praktik</w:t>
      </w:r>
      <w:r w:rsidRPr="002F1F98">
        <w:rPr>
          <w:rFonts w:ascii="Times New Roman" w:eastAsia="Times New Roman" w:hAnsi="Times New Roman" w:cs="Times New Roman"/>
          <w:sz w:val="24"/>
          <w:szCs w:val="24"/>
        </w:rPr>
        <w:t xml:space="preserve">, ofertuesit mund të përjashtohen nga procedurat e financuara nga BE-ja dhe/ose t’u nënshtrohen gjobave financiare deri në 10% të vlerës totale të kontratës, në përputhje me Rregulloren Financiare në fuqi. </w:t>
      </w:r>
      <w:proofErr w:type="gramStart"/>
      <w:r w:rsidRPr="002F1F98">
        <w:rPr>
          <w:rFonts w:ascii="Times New Roman" w:eastAsia="Times New Roman" w:hAnsi="Times New Roman" w:cs="Times New Roman"/>
          <w:sz w:val="24"/>
          <w:szCs w:val="24"/>
        </w:rPr>
        <w:t>Ky</w:t>
      </w:r>
      <w:proofErr w:type="gramEnd"/>
      <w:r w:rsidRPr="002F1F98">
        <w:rPr>
          <w:rFonts w:ascii="Times New Roman" w:eastAsia="Times New Roman" w:hAnsi="Times New Roman" w:cs="Times New Roman"/>
          <w:sz w:val="24"/>
          <w:szCs w:val="24"/>
        </w:rPr>
        <w:t xml:space="preserve"> informacion mund të publikohet në faqen e internetit të Komisionit, në përputhje me Rregulloren Financiare në fuqi.</w:t>
      </w:r>
    </w:p>
    <w:p w:rsidR="002F1F98" w:rsidRPr="002F1F98" w:rsidRDefault="002F1F98" w:rsidP="002F1F98">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Kontrata ndërmjet ofertuesit/kontraktorit dhe ekspertëve të tij, ose palës së tretë që vë në dispozicion ekspertët, duhet të përmbajë një dispozitë që ekspertët i nënshtrohen miratimit të vendit partner. Gjithashtu rekomandohet që kjo kontratë të përmbajë një klauzolë për zgjidhjen e mosmarrëveshjeve.</w:t>
      </w:r>
    </w:p>
    <w:p w:rsidR="002F1F98" w:rsidRPr="00D82173" w:rsidRDefault="002F1F98" w:rsidP="00D82173">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D82173">
        <w:rPr>
          <w:rFonts w:ascii="Times New Roman" w:eastAsia="Times New Roman" w:hAnsi="Times New Roman" w:cs="Times New Roman"/>
          <w:sz w:val="24"/>
          <w:szCs w:val="24"/>
        </w:rPr>
        <w:t>Nënkontraktimi lejohet, por kontraktori do të mbetet plotësisht përgjegjës ndaj autoritetit kontraktues për përmbushjen e kontratës në tërësi. Ofertuesi dhe, sipas rastit, subjektet në kapacitetet e të cilave mbështetet në lidhje me kriteret që lidhen me kapacitetin ekonomik dhe financiar, do të jenë bashkërisht përgjegjës për përmbushjen e kontratës. Nëse ofertuesi synon të nënkontraktojë një ose më shumë pjesë të shërbimeve të kontraktuara, kjo duhet të deklarohet qartë në organizimin dhe metodologjinë dhe në formularin e paraqitjes së ofertës.</w:t>
      </w:r>
    </w:p>
    <w:p w:rsidR="002F1F98" w:rsidRPr="00D82173" w:rsidRDefault="002F1F98" w:rsidP="00D82173">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D82173">
        <w:rPr>
          <w:rFonts w:ascii="Times New Roman" w:eastAsia="Times New Roman" w:hAnsi="Times New Roman" w:cs="Times New Roman"/>
          <w:sz w:val="24"/>
          <w:szCs w:val="24"/>
        </w:rPr>
        <w:t xml:space="preserve">Të gjithë nënkontraktorët dhe subjektet që vënë në dispozicion kapacitete duhet të jenë të pranueshëm për kontratën. Nëse identiteti i nënkontraktorit të synuar dihet tashmë në momentin e paraqitjes së ofertës, ofertuesi duhet të paraqesë një deklaratë që garanton pranueshmërinë e nënkontraktorit. Nëse ndonjë nënkontraktor/subjekt që vë në dispozicion kapacitete, i identifikuar në këtë mënyrë, nuk i përmbush kriteret e pranueshmërisë, oferta do të refuzohet. Nëse identiteti i nënkontraktorit nuk dihet në momentin e paraqitjes së </w:t>
      </w:r>
      <w:r w:rsidRPr="00D82173">
        <w:rPr>
          <w:rFonts w:ascii="Times New Roman" w:eastAsia="Times New Roman" w:hAnsi="Times New Roman" w:cs="Times New Roman"/>
          <w:sz w:val="24"/>
          <w:szCs w:val="24"/>
        </w:rPr>
        <w:lastRenderedPageBreak/>
        <w:t>ofertës, çdo nënkontratë duhet të jepet në përputhje me nenin 4 të kushteve të përgjithshme të kontratës.</w:t>
      </w:r>
    </w:p>
    <w:p w:rsidR="00D82173" w:rsidRDefault="002F1F98" w:rsidP="00D82173">
      <w:pPr>
        <w:pStyle w:val="ListParagraph"/>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D82173">
        <w:rPr>
          <w:rFonts w:ascii="Times New Roman" w:eastAsia="Times New Roman" w:hAnsi="Times New Roman" w:cs="Times New Roman"/>
          <w:sz w:val="24"/>
          <w:szCs w:val="24"/>
        </w:rPr>
        <w:t xml:space="preserve">Nënkontraktorët dhe subjektet që vënë në dispozicion kapacitete nuk mund të ndodhen në asnjë nga situatat e përjashtimit të renditura në Seksionin 2.4.2.1 të udhëzuesit praktik. Ofertuesi/kontraktori i suksesshëm duhet të paraqesë një deklaratë nga nënkontraktori/subjekti që vë në dispozicion kapacitete, ku deklarohet se nuk ndodhet në një nga situatat e përjashtimit. </w:t>
      </w:r>
    </w:p>
    <w:p w:rsidR="00D82173" w:rsidRDefault="002F1F98" w:rsidP="00D82173">
      <w:pPr>
        <w:pStyle w:val="ListParagraph"/>
        <w:spacing w:before="100" w:beforeAutospacing="1" w:after="100" w:afterAutospacing="1" w:line="240" w:lineRule="auto"/>
        <w:rPr>
          <w:rFonts w:ascii="Times New Roman" w:eastAsia="Times New Roman" w:hAnsi="Times New Roman" w:cs="Times New Roman"/>
          <w:sz w:val="24"/>
          <w:szCs w:val="24"/>
        </w:rPr>
      </w:pPr>
      <w:r w:rsidRPr="00D82173">
        <w:rPr>
          <w:rFonts w:ascii="Times New Roman" w:eastAsia="Times New Roman" w:hAnsi="Times New Roman" w:cs="Times New Roman"/>
          <w:sz w:val="24"/>
          <w:szCs w:val="24"/>
        </w:rPr>
        <w:t>Në rast dyshimi, autoriteti kontraktues do të kërkojë prova dokumentare që nënkontraktori/subjekti që vë në dispozicion kapacitete nuk ndodhet në një situatë përjashtimi. Subjekti nënkontraktor ose që vë në dispozicion kapacitete nuk mund të ndodhet as në asnjë nga situatat e përshkruara në Seksionin 2.4.1 të udhëzuesit praktik (masat kufizuese të BE-së).</w:t>
      </w:r>
    </w:p>
    <w:p w:rsidR="002F1F98" w:rsidRDefault="002F1F98" w:rsidP="002F1F98">
      <w:pPr>
        <w:pStyle w:val="ListParagraph"/>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Për të shmangur çdo paqartësi, kur ekspertët nuk janë të punësuar ose kontraktuar drejtpërdrejt nga ofertuesi/kontraktori, por nëpërmjet një pale të tretë, kjo e fundit është nënkontraktor.</w:t>
      </w:r>
      <w:r w:rsidR="00D82173">
        <w:rPr>
          <w:rFonts w:ascii="Times New Roman" w:eastAsia="Times New Roman" w:hAnsi="Times New Roman" w:cs="Times New Roman"/>
          <w:sz w:val="24"/>
          <w:szCs w:val="24"/>
        </w:rPr>
        <w:t xml:space="preserve"> </w:t>
      </w:r>
      <w:r w:rsidRPr="00D82173">
        <w:rPr>
          <w:rFonts w:ascii="Times New Roman" w:eastAsia="Times New Roman" w:hAnsi="Times New Roman" w:cs="Times New Roman"/>
          <w:sz w:val="24"/>
          <w:szCs w:val="24"/>
        </w:rPr>
        <w:t>Ekspertët e vënë në dispozicion nga çdo palë e tretë (nënkontraktorë) konsiderohen, për të gjitha qëllimet që lidhen me këtë kontratë, personel i kontraktorit.</w:t>
      </w:r>
    </w:p>
    <w:p w:rsidR="00D82173" w:rsidRPr="00D82173" w:rsidRDefault="00D82173" w:rsidP="00D82173">
      <w:pPr>
        <w:pStyle w:val="ListParagraph"/>
        <w:spacing w:before="100" w:beforeAutospacing="1" w:after="100" w:afterAutospacing="1" w:line="240" w:lineRule="auto"/>
        <w:rPr>
          <w:rFonts w:ascii="Times New Roman" w:eastAsia="Times New Roman" w:hAnsi="Times New Roman" w:cs="Times New Roman"/>
          <w:sz w:val="24"/>
          <w:szCs w:val="24"/>
        </w:rPr>
      </w:pPr>
    </w:p>
    <w:p w:rsidR="002F1F98" w:rsidRPr="00D82173" w:rsidRDefault="002F1F98" w:rsidP="00D82173">
      <w:pPr>
        <w:pStyle w:val="ListParagraph"/>
        <w:numPr>
          <w:ilvl w:val="0"/>
          <w:numId w:val="25"/>
        </w:numPr>
        <w:spacing w:before="100" w:beforeAutospacing="1" w:after="100" w:afterAutospacing="1" w:line="240" w:lineRule="auto"/>
        <w:rPr>
          <w:rFonts w:ascii="Times New Roman" w:eastAsia="Times New Roman" w:hAnsi="Times New Roman" w:cs="Times New Roman"/>
          <w:b/>
          <w:sz w:val="24"/>
          <w:szCs w:val="24"/>
        </w:rPr>
      </w:pPr>
      <w:r w:rsidRPr="00D82173">
        <w:rPr>
          <w:rFonts w:ascii="Times New Roman" w:eastAsia="Times New Roman" w:hAnsi="Times New Roman" w:cs="Times New Roman"/>
          <w:b/>
          <w:bCs/>
          <w:sz w:val="24"/>
          <w:szCs w:val="24"/>
        </w:rPr>
        <w:t>Përmbajtja e ofertave</w:t>
      </w:r>
    </w:p>
    <w:p w:rsidR="002F1F98" w:rsidRPr="002F1F98" w:rsidRDefault="002F1F98" w:rsidP="002F1F98">
      <w:pPr>
        <w:spacing w:before="100" w:beforeAutospacing="1" w:after="100" w:afterAutospacing="1" w:line="240" w:lineRule="auto"/>
        <w:outlineLvl w:val="1"/>
        <w:rPr>
          <w:rFonts w:ascii="Times New Roman" w:eastAsia="Times New Roman" w:hAnsi="Times New Roman" w:cs="Times New Roman"/>
          <w:bCs/>
          <w:sz w:val="24"/>
          <w:szCs w:val="24"/>
        </w:rPr>
      </w:pPr>
      <w:r w:rsidRPr="002F1F98">
        <w:rPr>
          <w:rFonts w:ascii="Times New Roman" w:eastAsia="Times New Roman" w:hAnsi="Times New Roman" w:cs="Times New Roman"/>
          <w:bCs/>
          <w:sz w:val="24"/>
          <w:szCs w:val="24"/>
        </w:rPr>
        <w:t>Ofertat, e gjithë korrespondenca dhe dokumentet që lidhen me tenderin, të shkëmbyera ndërmjet ofertuesit dhe autoritetit kontraktues, duhet të hartohen në gjuhën angleze</w:t>
      </w:r>
      <w:r w:rsidR="00D82173">
        <w:rPr>
          <w:rFonts w:ascii="Times New Roman" w:eastAsia="Times New Roman" w:hAnsi="Times New Roman" w:cs="Times New Roman"/>
          <w:bCs/>
          <w:sz w:val="24"/>
          <w:szCs w:val="24"/>
        </w:rPr>
        <w:t xml:space="preserve"> dhe shqip</w:t>
      </w:r>
      <w:r w:rsidRPr="002F1F98">
        <w:rPr>
          <w:rFonts w:ascii="Times New Roman" w:eastAsia="Times New Roman" w:hAnsi="Times New Roman" w:cs="Times New Roman"/>
          <w:bCs/>
          <w:sz w:val="24"/>
          <w:szCs w:val="24"/>
        </w:rPr>
        <w:t>.</w:t>
      </w:r>
    </w:p>
    <w:p w:rsidR="002F1F98" w:rsidRPr="002F1F98" w:rsidRDefault="002F1F98" w:rsidP="002F1F98">
      <w:pPr>
        <w:spacing w:before="100" w:beforeAutospacing="1" w:after="100" w:afterAutospacing="1" w:line="240" w:lineRule="auto"/>
        <w:outlineLvl w:val="1"/>
        <w:rPr>
          <w:rFonts w:ascii="Times New Roman" w:eastAsia="Times New Roman" w:hAnsi="Times New Roman" w:cs="Times New Roman"/>
          <w:bCs/>
          <w:sz w:val="24"/>
          <w:szCs w:val="24"/>
        </w:rPr>
      </w:pPr>
      <w:r w:rsidRPr="002F1F98">
        <w:rPr>
          <w:rFonts w:ascii="Times New Roman" w:eastAsia="Times New Roman" w:hAnsi="Times New Roman" w:cs="Times New Roman"/>
          <w:bCs/>
          <w:sz w:val="24"/>
          <w:szCs w:val="24"/>
        </w:rPr>
        <w:t>Dokumentet mbështetëse dhe literatura e paraqitur nga ofertuesi mund të jenë në një gjuhë tjetër, me kusht që të shoqërohen me një përkthim në gjuhën e procedurës. Për qëllime të interpretimit të ofertës, gjuha e procedurës ka përparësi.</w:t>
      </w:r>
    </w:p>
    <w:p w:rsidR="002F1F98" w:rsidRPr="002F1F98" w:rsidRDefault="00D82173" w:rsidP="002F1F9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Dorëzimi i ofertës</w:t>
      </w:r>
      <w:r w:rsidR="002F1F98" w:rsidRPr="002F1F98">
        <w:rPr>
          <w:rFonts w:ascii="Times New Roman" w:eastAsia="Times New Roman" w:hAnsi="Times New Roman" w:cs="Times New Roman"/>
          <w:sz w:val="24"/>
          <w:szCs w:val="24"/>
        </w:rPr>
        <w: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Oferta duhet të përfshijë një ofertë teknike dhe një ofertë financiare, të cilat duhet të dorëzohen në zarfe të veçanta (shih pikën 8). Çdo ofertë teknike dhe financiare duhet të përmbajë </w:t>
      </w:r>
      <w:r w:rsidRPr="002F1F98">
        <w:rPr>
          <w:rFonts w:ascii="Times New Roman" w:eastAsia="Times New Roman" w:hAnsi="Times New Roman" w:cs="Times New Roman"/>
          <w:b/>
          <w:bCs/>
          <w:sz w:val="24"/>
          <w:szCs w:val="24"/>
        </w:rPr>
        <w:t>një origjina</w:t>
      </w:r>
      <w:r w:rsidRPr="002F1F98">
        <w:rPr>
          <w:rFonts w:ascii="Times New Roman" w:eastAsia="Times New Roman" w:hAnsi="Times New Roman" w:cs="Times New Roman"/>
          <w:sz w:val="24"/>
          <w:szCs w:val="24"/>
        </w:rPr>
        <w:t>l, të shënuar qartë “Origjinal</w:t>
      </w:r>
      <w:r w:rsidRPr="002F1F98">
        <w:rPr>
          <w:rFonts w:ascii="Times New Roman" w:eastAsia="Times New Roman" w:hAnsi="Times New Roman" w:cs="Times New Roman"/>
          <w:b/>
          <w:bCs/>
          <w:sz w:val="24"/>
          <w:szCs w:val="24"/>
        </w:rPr>
        <w:t>”</w:t>
      </w:r>
      <w:r w:rsidR="00D82173">
        <w:rPr>
          <w:rFonts w:ascii="Times New Roman" w:eastAsia="Times New Roman" w:hAnsi="Times New Roman" w:cs="Times New Roman"/>
          <w:b/>
          <w:bCs/>
          <w:sz w:val="24"/>
          <w:szCs w:val="24"/>
        </w:rPr>
        <w:t xml:space="preserve"> dhe nje kopje e shenuar Kopje.  </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Mosplotësimi i kërkesave në pikat 4.1, 4.2 dhe 8 do të përbëjë parregullsi dhe mund të çojë në refuzimin e ofertës.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4.1. Oferta teknike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Oferta teknike duhet të përfshijë dokumentet e mëposhtme:</w:t>
      </w:r>
    </w:p>
    <w:p w:rsidR="002F1F98" w:rsidRPr="002F1F98" w:rsidRDefault="002F1F98" w:rsidP="002F1F98">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Formulari i paraqitjes së ofe</w:t>
      </w:r>
      <w:r w:rsidRPr="002F1F98">
        <w:rPr>
          <w:rFonts w:ascii="Times New Roman" w:eastAsia="Times New Roman" w:hAnsi="Times New Roman" w:cs="Times New Roman"/>
          <w:sz w:val="24"/>
          <w:szCs w:val="24"/>
        </w:rPr>
        <w:t>rtës (shih Pjesën D të kësaj dosjeje tenderi), duke përfshirë:</w:t>
      </w:r>
    </w:p>
    <w:p w:rsidR="002F1F98" w:rsidRDefault="002F1F98" w:rsidP="00D82173">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D82173">
        <w:rPr>
          <w:rFonts w:ascii="Times New Roman" w:eastAsia="Times New Roman" w:hAnsi="Times New Roman" w:cs="Times New Roman"/>
          <w:sz w:val="24"/>
          <w:szCs w:val="24"/>
        </w:rPr>
        <w:t>Një formular identifikimi i plotësuar (shih Aneksin VI të projekt-kontratës) dhe dokumentet mbështetëse të formularit të identifikimit.</w:t>
      </w:r>
    </w:p>
    <w:p w:rsidR="00286B02" w:rsidRDefault="00286B02" w:rsidP="00D82173">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Njw deklaratw e nwnshkruar duke pwrdorur formatin bashkengjitur ne formularin e dorezimit te te ofertes, se bashku me nje Deklarate konfidencialitetit mbi kriteret e perjashtimit dhe kriteret e perzgjedhjes</w:t>
      </w:r>
      <w:r w:rsidR="006D69D3">
        <w:rPr>
          <w:rFonts w:ascii="Times New Roman" w:eastAsia="Times New Roman" w:hAnsi="Times New Roman" w:cs="Times New Roman"/>
          <w:sz w:val="24"/>
          <w:szCs w:val="24"/>
        </w:rPr>
        <w:t xml:space="preserve"> te nenshkruar nga cdo person juridik I idnetifikuar ne formularin e dorezimit te ofertes dhe nga cdo nenkontraktor dhe </w:t>
      </w:r>
      <w:r w:rsidR="006D69D3">
        <w:rPr>
          <w:rFonts w:ascii="Times New Roman" w:eastAsia="Times New Roman" w:hAnsi="Times New Roman" w:cs="Times New Roman"/>
          <w:sz w:val="24"/>
          <w:szCs w:val="24"/>
        </w:rPr>
        <w:lastRenderedPageBreak/>
        <w:t xml:space="preserve">/ose entitet ofrues I kapacitetit, duke perdorur formatin e bashkengjitur ne formularin e dorezimit te ofertes. </w:t>
      </w:r>
    </w:p>
    <w:p w:rsidR="006D69D3" w:rsidRDefault="006D69D3" w:rsidP="00D82173">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Nje formular identifikimi finnaciar i plotesuar </w:t>
      </w:r>
      <w:proofErr w:type="gramStart"/>
      <w:r>
        <w:rPr>
          <w:rFonts w:ascii="Times New Roman" w:eastAsia="Times New Roman" w:hAnsi="Times New Roman" w:cs="Times New Roman"/>
          <w:sz w:val="24"/>
          <w:szCs w:val="24"/>
        </w:rPr>
        <w:t>( shih</w:t>
      </w:r>
      <w:proofErr w:type="gramEnd"/>
      <w:r>
        <w:rPr>
          <w:rFonts w:ascii="Times New Roman" w:eastAsia="Times New Roman" w:hAnsi="Times New Roman" w:cs="Times New Roman"/>
          <w:sz w:val="24"/>
          <w:szCs w:val="24"/>
        </w:rPr>
        <w:t xml:space="preserve"> Shtojcen VI te draft kontrates) per llogarine bankare ne te cilat do te behen pagesat nese eshte e sukseshme.   </w:t>
      </w:r>
    </w:p>
    <w:p w:rsidR="006D69D3" w:rsidRDefault="006D69D3" w:rsidP="00D82173">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Dosja e personit juridike dhe dokumentat mbeshtetese.</w:t>
      </w:r>
    </w:p>
    <w:p w:rsidR="0004153D" w:rsidRDefault="006D69D3" w:rsidP="00D82173">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Firme e autorizuar: nje document zyrtar (statt, procure, deklarate noteriale) qe verteton se personi qe nenshkruan ne emer </w:t>
      </w:r>
      <w:proofErr w:type="gramStart"/>
      <w:r>
        <w:rPr>
          <w:rFonts w:ascii="Times New Roman" w:eastAsia="Times New Roman" w:hAnsi="Times New Roman" w:cs="Times New Roman"/>
          <w:sz w:val="24"/>
          <w:szCs w:val="24"/>
        </w:rPr>
        <w:t>te</w:t>
      </w:r>
      <w:proofErr w:type="gramEnd"/>
      <w:r>
        <w:rPr>
          <w:rFonts w:ascii="Times New Roman" w:eastAsia="Times New Roman" w:hAnsi="Times New Roman" w:cs="Times New Roman"/>
          <w:sz w:val="24"/>
          <w:szCs w:val="24"/>
        </w:rPr>
        <w:t xml:space="preserve"> kompanise/ndermarrjes/konsorciumit eshte I autorizuar sic duhet per ta bere ke</w:t>
      </w:r>
      <w:r w:rsidR="0004153D">
        <w:rPr>
          <w:rFonts w:ascii="Times New Roman" w:eastAsia="Times New Roman" w:hAnsi="Times New Roman" w:cs="Times New Roman"/>
          <w:sz w:val="24"/>
          <w:szCs w:val="24"/>
        </w:rPr>
        <w:t>te.</w:t>
      </w:r>
    </w:p>
    <w:p w:rsidR="006D69D3" w:rsidRPr="00D82173" w:rsidRDefault="0004153D" w:rsidP="0004153D">
      <w:pPr>
        <w:pStyle w:val="ListParagraph"/>
        <w:spacing w:before="100" w:beforeAutospacing="1" w:after="100" w:afterAutospacing="1"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F1F98" w:rsidRPr="002F1F98" w:rsidRDefault="002F1F98" w:rsidP="002F1F98">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xml:space="preserve">Organizimi dhe metodologjia </w:t>
      </w:r>
      <w:r w:rsidRPr="002F1F98">
        <w:rPr>
          <w:rFonts w:ascii="Times New Roman" w:eastAsia="Times New Roman" w:hAnsi="Times New Roman" w:cs="Times New Roman"/>
          <w:sz w:val="24"/>
          <w:szCs w:val="24"/>
        </w:rPr>
        <w:t>(që do të bëhet Aneksi III i kontratës), të hartohen nga ofertuesi duke përdorur formatin në Aneksin III të projekt-kontratës.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Aneksi IV i projekt-kontratës përmban modelet që duhet të përdorin ofertuesit, duke përfshirë:</w:t>
      </w:r>
    </w:p>
    <w:p w:rsidR="002F1F98" w:rsidRPr="002F1F98" w:rsidRDefault="002F1F98" w:rsidP="0004153D">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një listë të emrave të ekspertëve kryesorë;</w:t>
      </w:r>
    </w:p>
    <w:p w:rsidR="002F1F98" w:rsidRPr="002F1F98" w:rsidRDefault="002F1F98" w:rsidP="0004153D">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F1F98">
        <w:rPr>
          <w:rFonts w:ascii="Times New Roman" w:eastAsia="Times New Roman" w:hAnsi="Times New Roman" w:cs="Times New Roman"/>
          <w:sz w:val="24"/>
          <w:szCs w:val="24"/>
        </w:rPr>
        <w:t>profilin</w:t>
      </w:r>
      <w:proofErr w:type="gramEnd"/>
      <w:r w:rsidRPr="002F1F98">
        <w:rPr>
          <w:rFonts w:ascii="Times New Roman" w:eastAsia="Times New Roman" w:hAnsi="Times New Roman" w:cs="Times New Roman"/>
          <w:sz w:val="24"/>
          <w:szCs w:val="24"/>
        </w:rPr>
        <w:t xml:space="preserve"> e ekspertit për secilin nga ekspertët kry</w:t>
      </w:r>
      <w:r w:rsidRPr="002F1F98">
        <w:rPr>
          <w:rFonts w:ascii="Times New Roman" w:eastAsia="Times New Roman" w:hAnsi="Times New Roman" w:cs="Times New Roman"/>
          <w:b/>
          <w:bCs/>
          <w:sz w:val="24"/>
          <w:szCs w:val="24"/>
        </w:rPr>
        <w:t>es</w:t>
      </w:r>
      <w:r w:rsidRPr="002F1F98">
        <w:rPr>
          <w:rFonts w:ascii="Times New Roman" w:eastAsia="Times New Roman" w:hAnsi="Times New Roman" w:cs="Times New Roman"/>
          <w:sz w:val="24"/>
          <w:szCs w:val="24"/>
        </w:rPr>
        <w:t xml:space="preserve">orë. Profili i secilit ekspert nuk duhet të jetë më i gjatë se 3 faqe dhe duhet të paraqitet vetëm një profil eksperti për çdo pozicion të përcaktuar në termat e referencës. Vetëm përvoja e punës e përmendur në profilin e ekspertit do të merret në konsideratë nga komiteti i vlerësimit. Vini re se profili i ekspertëve </w:t>
      </w:r>
      <w:proofErr w:type="gramStart"/>
      <w:r w:rsidRPr="002F1F98">
        <w:rPr>
          <w:rFonts w:ascii="Times New Roman" w:eastAsia="Times New Roman" w:hAnsi="Times New Roman" w:cs="Times New Roman"/>
          <w:sz w:val="24"/>
          <w:szCs w:val="24"/>
        </w:rPr>
        <w:t>jo</w:t>
      </w:r>
      <w:proofErr w:type="gramEnd"/>
      <w:r w:rsidRPr="002F1F98">
        <w:rPr>
          <w:rFonts w:ascii="Times New Roman" w:eastAsia="Times New Roman" w:hAnsi="Times New Roman" w:cs="Times New Roman"/>
          <w:sz w:val="24"/>
          <w:szCs w:val="24"/>
        </w:rPr>
        <w:t xml:space="preserve"> kryesorë nuk duhet të paraqitet.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Kualifikimet dhe përvoja e çdo eksperti kryesor duhet të përputhen qartë me profilet e përcaktuara në termat e referencës. Nëse një ekspert nuk plotëson kërkesat minimale për secilin kriter vlerësimi (d.m.th. kualifikimin dhe aftësitë, përvojën e përgjithshme profesionale dhe përvojën profesionale specifike), ai/ajo duhet të refuzohet. Në një rast të tillë, e gjithë oferta do të refuzohet.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duhet të paraqesin dokumentet e mëposhtme për çdo ekspert kryesor të propozuar:</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 </w:t>
      </w:r>
      <w:proofErr w:type="gramStart"/>
      <w:r w:rsidRPr="002F1F98">
        <w:rPr>
          <w:rFonts w:ascii="Times New Roman" w:eastAsia="Times New Roman" w:hAnsi="Times New Roman" w:cs="Times New Roman"/>
          <w:sz w:val="24"/>
          <w:szCs w:val="24"/>
        </w:rPr>
        <w:t>një</w:t>
      </w:r>
      <w:proofErr w:type="gramEnd"/>
      <w:r w:rsidRPr="002F1F98">
        <w:rPr>
          <w:rFonts w:ascii="Times New Roman" w:eastAsia="Times New Roman" w:hAnsi="Times New Roman" w:cs="Times New Roman"/>
          <w:sz w:val="24"/>
          <w:szCs w:val="24"/>
        </w:rPr>
        <w:t xml:space="preserve"> kopje të diplomave të përmendura në profilin e ekspertit të tyre,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 </w:t>
      </w:r>
      <w:proofErr w:type="gramStart"/>
      <w:r w:rsidRPr="002F1F98">
        <w:rPr>
          <w:rFonts w:ascii="Times New Roman" w:eastAsia="Times New Roman" w:hAnsi="Times New Roman" w:cs="Times New Roman"/>
          <w:sz w:val="24"/>
          <w:szCs w:val="24"/>
        </w:rPr>
        <w:t>një</w:t>
      </w:r>
      <w:proofErr w:type="gramEnd"/>
      <w:r w:rsidRPr="002F1F98">
        <w:rPr>
          <w:rFonts w:ascii="Times New Roman" w:eastAsia="Times New Roman" w:hAnsi="Times New Roman" w:cs="Times New Roman"/>
          <w:sz w:val="24"/>
          <w:szCs w:val="24"/>
        </w:rPr>
        <w:t xml:space="preserve"> kopje të vërtetimeve ose referencave të punëdhënësit, ose kopje të nënshkruara të kontratave të konsulencës ose të punës, që provojnë përvojën profesionale të treguar në profilin e ekspertit të tyre. Pranueshmëria e çdo dokumenti tjetër mbështetës për të provuar përvojën e punës të treguar në profilin e ekspertit do t’i nënshtrohet gjykimit të autoritetit kontraktues.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Do të merren në konsideratë vetëm diplomat dhe përvoja e dokumentuar. Përvoja e mëparshme që do të kishte çuar në shkeljen dhe përfundimin e kontratës nuk do të përdoret si referencë.</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(3) Prova dokumentare ose deklaratat e kërkuara sipas ligjit të vendit në të cilin operatori ekonomik (ose secili prej operatorëve ekonomikë në rastin e konsorcieve), nënkontraktorët dhe subjektet që vënë në dispozicion kapacitete janë themeluar faktikisht, për të treguar se nuk ndodhen në asnjë nga situatat e përjashtimit të renditura në Seksionin 2.4.1.2 të udhëzuesit praktik. Në çdo kohë gjatë procedurës, autoriteti kontraktues mund të kërkojë informacion për garantuesit, për personat fizikë ose juridikë që janë anëtarë të organit administrativ, drejtues ose mbikëqyrës, ose që kanë </w:t>
      </w:r>
      <w:r w:rsidRPr="002F1F98">
        <w:rPr>
          <w:rFonts w:ascii="Times New Roman" w:eastAsia="Times New Roman" w:hAnsi="Times New Roman" w:cs="Times New Roman"/>
          <w:sz w:val="24"/>
          <w:szCs w:val="24"/>
        </w:rPr>
        <w:lastRenderedPageBreak/>
        <w:t>kompetenca për përfaqësim, vendimmarrje ose kontroll, duke përfshirë personat fizikë dhe juridikë brenda strukturës së pronësisë dhe kontrollit dhe pronarët përfitues, si dhe prova të përshtatshme që asnjë prej këtyre personave nuk ndodhet në një nga situatat e përjashtimit të përmendura në Deklaratën e Nderit.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Këto prova, dokumente ose deklarata duhet të jenë të datuara </w:t>
      </w:r>
      <w:proofErr w:type="gramStart"/>
      <w:r w:rsidRPr="002F1F98">
        <w:rPr>
          <w:rFonts w:ascii="Times New Roman" w:eastAsia="Times New Roman" w:hAnsi="Times New Roman" w:cs="Times New Roman"/>
          <w:sz w:val="24"/>
          <w:szCs w:val="24"/>
        </w:rPr>
        <w:t>jo</w:t>
      </w:r>
      <w:proofErr w:type="gramEnd"/>
      <w:r w:rsidRPr="002F1F98">
        <w:rPr>
          <w:rFonts w:ascii="Times New Roman" w:eastAsia="Times New Roman" w:hAnsi="Times New Roman" w:cs="Times New Roman"/>
          <w:sz w:val="24"/>
          <w:szCs w:val="24"/>
        </w:rPr>
        <w:t xml:space="preserve"> më shumë se një vit përpara datës së paraqitjes së ofertës. Përveç kësaj, duhet të paraqitet një deklaratë ku thuhet se situatat e përshkruara në këto dokumente nuk kanë ndryshuar që nga ajo kohë.</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Nëse natyra e subjektit tuaj është e tillë që ai nuk mund të ndodhet në situatat e përjashtimit dhe/ose nuk mund të paraqesë dokumentet e treguara më sipër (për shembull, administratat publike kombëtare dhe organizatat ndërkombëtare), ju lutemi paraqisni një deklaratë që shpjegon këtë situatë.</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Autoriteti kontraktues mund të heqë dorë nga detyrimi i çdo ofertuesi për të paraqitur provat dokumentare të përmendura më sipër, bazuar në një vlerësim të rrezikut, ose nëse këto prova janë paraqitur tashmë për qëllimet e një procedure tjetër prokurimi, me kusht që data e lëshimit të dokumenteve të mos jetë më shumë se një vit e vjetër dhe që ato të jenë ende të vlefshme. Në këtë rast, ofertuesi duhet të deklarojë nën përgjegjësinë e tij se provat dokumentare janë paraqitur tashmë në një procedurë të mëparshme prokurimi dhe të konfirmojë se situata e tij nuk ka ndryshuar.</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(4) Prova dokumentare e kapacitetit financiar dhe ekonomik dhe/ose e kapacitetit teknik dhe profesional, duke përfshirë çdo informacion shtesë të mundshëm për vlerësimin e mungesës së konfliktit të interesit profesional, kur kërkohet, sipas kritereve të përzgjedhjes të përcaktuara në pikën 16 të njoftimit të kontratës. (Shih Seksionin 2.6.11 të udhëzuesit praktik).]</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Nëse provat dokumentare të paraqitura nuk janë të shkruara në një nga gjuhët zyrtare të Bashkimit Evropian, duhet t’u bashkëngjitet një përkthim në gjuhën e procedurës. Kur dokumentet janë në një gjuhë zyrtare të Bashkimit Evropian, të ndryshme nga gjuha e procedurës, megjithatë rekomandohet fuqimisht të sigurohet një përkthim në gjuhën e procedurës, me qëllim lehtësimin e vlerësimit të dokumenteve. Provat dokumentare ose deklaratat mund të jenë në origjinal ose kopje. Nëse paraqiten kopje, origjinalet duhet të jenë të disponueshme për t’ia dërguar autoritetit kontraktues me kërkesë.</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Ofertuesve u kujtohet se paraqitja e informacionit të rremë në këtë procedurë tenderimi mund të çojë në refuzimin e ofertës së tyre dhe në përjashtimin e tyre nga procedurat dhe kontratat e financuara nga BE-ja.</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4.2. Oferta financiare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Për kontratat me çmim global</w:t>
      </w:r>
      <w:r w:rsidRPr="002F1F98">
        <w:rPr>
          <w:rFonts w:ascii="Times New Roman" w:eastAsia="Times New Roman" w:hAnsi="Times New Roman" w:cs="Times New Roman"/>
          <w:i/>
          <w:iCs/>
          <w:sz w:val="24"/>
          <w:szCs w:val="24"/>
        </w:rPr>
        <w: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Oferta financiare duhet të paraqitet si shumë në [Euro] dhe duhet të dorëzohet duke përdorur modelin për versionin me çmim global të Aneksit V të Pjesës B të kësaj dosjeje tenderi. Versioni </w:t>
      </w:r>
      <w:r w:rsidRPr="002F1F98">
        <w:rPr>
          <w:rFonts w:ascii="Times New Roman" w:eastAsia="Times New Roman" w:hAnsi="Times New Roman" w:cs="Times New Roman"/>
          <w:sz w:val="24"/>
          <w:szCs w:val="24"/>
        </w:rPr>
        <w:lastRenderedPageBreak/>
        <w:t>elektronik i këtij dokumenti “B8 — Buxheti për një kontratë me çmim global” gjendet në faqen e internetit:</w:t>
      </w:r>
    </w:p>
    <w:p w:rsidR="002F1F98" w:rsidRPr="002F1F98" w:rsidRDefault="00E57747" w:rsidP="002F1F98">
      <w:pPr>
        <w:spacing w:before="100" w:beforeAutospacing="1" w:after="100" w:afterAutospacing="1" w:line="240" w:lineRule="auto"/>
        <w:rPr>
          <w:rFonts w:ascii="Times New Roman" w:eastAsia="Times New Roman" w:hAnsi="Times New Roman" w:cs="Times New Roman"/>
          <w:sz w:val="24"/>
          <w:szCs w:val="24"/>
        </w:rPr>
      </w:pPr>
      <w:hyperlink r:id="rId10" w:anchor="Annexes-AnnexesB(Ch.3):Servicecontracts" w:history="1">
        <w:r w:rsidR="002F1F98" w:rsidRPr="002F1F98">
          <w:rPr>
            <w:rFonts w:ascii="Times New Roman" w:eastAsia="Times New Roman" w:hAnsi="Times New Roman" w:cs="Times New Roman"/>
            <w:color w:val="0000FF"/>
            <w:sz w:val="24"/>
            <w:szCs w:val="24"/>
            <w:u w:val="single"/>
          </w:rPr>
          <w:t>https://wikis.ec.europa.eu/display/ExactExternalWiki/Annexes#Annexes-AnnexesB(Ch.3):Servicecontracts</w:t>
        </w:r>
      </w:hyperlink>
      <w:r w:rsidR="002F1F98" w:rsidRPr="002F1F98">
        <w:rPr>
          <w:rFonts w:ascii="Times New Roman" w:eastAsia="Times New Roman" w:hAnsi="Times New Roman" w:cs="Times New Roman"/>
          <w:sz w:val="24"/>
          <w:szCs w:val="24"/>
        </w:rPr>
        <w: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Çmimi global duhet të ndahet sipas rezultateve të pritshme nëse kërkohet në termat e referencës.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Ofertuesve u kujtohet se, siç përcaktohet në njoftimin e kontratës, buxheti maksimal i disponueshëm për këtë kontratë, duke përfshirë taksat nëse është e zbatueshme, është EUR. Vetëm çmimi pa TVSH/taksat indirekte do të merret në konsideratë për vlerësimin financiar. Shuma e TVSH-së/taksës indirekte, nëse është e zbatueshme, duhet të tregohet veçmas. Pagesat në kuadër të kësaj kontrate do të bëhen në monedhën e ofertës.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Rregullimet e zbatueshme tatimore dhe doganore janë si më poshtë:</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Përjashtimi nga taksat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Komisioni Evropian dhe Shqipëria kanë rënë dakord në Marrëveshjen e Financimit për Programin Interreg IPA Adriatiku Jugor 2021–2027 (IPA III) që të përjashtojnë plotësisht TVSH-në dhe detyrimet doganore. Informacione më të hollësishme, si të dhënat e autoritetit kompetent të vendit partner, referencat për procedurat e përjashtimit të përcaktuara nga legjislacioni kombëtar në fuqi (duke përfshirë formalitetet e kërkuara dhe skemën e përjashtimit ex-ante ose rimbursimit ex-post), mund të jepen nga Autoriteti Kontraktues.</w:t>
      </w:r>
    </w:p>
    <w:p w:rsidR="002F1F98" w:rsidRPr="002F1F98" w:rsidRDefault="002F1F98" w:rsidP="002F1F98">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Zgjidhjet alternative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nuk janë të autorizuar të paraqesin një variant përveç kësaj oferte.</w:t>
      </w:r>
    </w:p>
    <w:p w:rsidR="002F1F98" w:rsidRPr="002F1F98" w:rsidRDefault="002F1F98" w:rsidP="002F1F98">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Periudha gjatë së cilës ofertat janë detyruese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janë të detyruar nga ofertat e tyre për 30 ditë pas afatit për paraqitjen e ofertave.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 raste të jashtëzakonshme, përpara skadimit të periudhës së vlefshmërisë, autoriteti kontraktues mund t’u kërkojë ofertuesve ta zgjasin periudhën për një numër të caktuar ditësh, i cili nuk mund të kalojë 20 ditë. Kjo periudhë mund të zgjatet më tej kur autoritetit kontraktues i kërkohet të marrë rekomandimin e panelit të përmendur në Seksionin 2.4.2.1 të udhëzuesit praktik, deri në miratimin e këtij rekomandimi.</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 i suksesshëm duhet ta mbajë ofertën e tij edhe për 10 ditë të tjera. Kjo periudhë 10-ditore i shtohet periudhës së vlefshmërisë, pavarësisht nga data e njoftimit. Kjo periudhë mund të zgjatet më tej me marrëveshje të ndërsjellë ndërmjet palëve.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Në rast se autoriteti kontraktues pezullon nënshkrimin e kontratës pas periudhës së pritjes, të gjithë ofertuesit duhet të informohen </w:t>
      </w:r>
      <w:proofErr w:type="gramStart"/>
      <w:r w:rsidRPr="002F1F98">
        <w:rPr>
          <w:rFonts w:ascii="Times New Roman" w:eastAsia="Times New Roman" w:hAnsi="Times New Roman" w:cs="Times New Roman"/>
          <w:sz w:val="24"/>
          <w:szCs w:val="24"/>
        </w:rPr>
        <w:t>brenda</w:t>
      </w:r>
      <w:proofErr w:type="gramEnd"/>
      <w:r w:rsidRPr="002F1F98">
        <w:rPr>
          <w:rFonts w:ascii="Times New Roman" w:eastAsia="Times New Roman" w:hAnsi="Times New Roman" w:cs="Times New Roman"/>
          <w:sz w:val="24"/>
          <w:szCs w:val="24"/>
        </w:rPr>
        <w:t xml:space="preserve"> 3 ditëve pune pas vendimit të pezullimit, gjë që zgjat automatikisht vlefshmërinë e ofertës së tyre për periudhën përkatëse.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lastRenderedPageBreak/>
        <w:t xml:space="preserve">Gjatë periudhës së vlefshmërisë së ofertave për ofertuesit e pasuksesshëm, autoriteti kontraktues rezervon të drejtën t’i dërgojë njoftimin e dhënies së kontratës ofertuesit të renditur të dytë më të mirë. Vlefshmëria e ofertës së renditur të radhës do të zgjatet me 10 ditë, pas njoftimit të vendimit të </w:t>
      </w:r>
      <w:proofErr w:type="gramStart"/>
      <w:r w:rsidRPr="002F1F98">
        <w:rPr>
          <w:rFonts w:ascii="Times New Roman" w:eastAsia="Times New Roman" w:hAnsi="Times New Roman" w:cs="Times New Roman"/>
          <w:sz w:val="24"/>
          <w:szCs w:val="24"/>
        </w:rPr>
        <w:t>ri</w:t>
      </w:r>
      <w:proofErr w:type="gramEnd"/>
      <w:r w:rsidRPr="002F1F98">
        <w:rPr>
          <w:rFonts w:ascii="Times New Roman" w:eastAsia="Times New Roman" w:hAnsi="Times New Roman" w:cs="Times New Roman"/>
          <w:sz w:val="24"/>
          <w:szCs w:val="24"/>
        </w:rPr>
        <w:t xml:space="preserve"> të dhënies së kontratës. Kjo periudhë 10-ditore i shtohet periudhës së vlefshmërisë, pavarësisht nga data e njoftimit, i cili megjithatë duhet të bëhet </w:t>
      </w:r>
      <w:proofErr w:type="gramStart"/>
      <w:r w:rsidRPr="002F1F98">
        <w:rPr>
          <w:rFonts w:ascii="Times New Roman" w:eastAsia="Times New Roman" w:hAnsi="Times New Roman" w:cs="Times New Roman"/>
          <w:sz w:val="24"/>
          <w:szCs w:val="24"/>
        </w:rPr>
        <w:t>brenda</w:t>
      </w:r>
      <w:proofErr w:type="gramEnd"/>
      <w:r w:rsidRPr="002F1F98">
        <w:rPr>
          <w:rFonts w:ascii="Times New Roman" w:eastAsia="Times New Roman" w:hAnsi="Times New Roman" w:cs="Times New Roman"/>
          <w:sz w:val="24"/>
          <w:szCs w:val="24"/>
        </w:rPr>
        <w:t xml:space="preserve"> periudhës së vlefshmërisë.</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 mund të refuzojë dhënien e kontratës nëse, kur merr njoftimin e dhënies së kontratës, vlefshmëria e ofertës së tij ka skaduar.</w:t>
      </w:r>
    </w:p>
    <w:p w:rsidR="002F1F98" w:rsidRPr="002F1F98" w:rsidRDefault="002F1F98" w:rsidP="002F1F98">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Informacion shtesë përpara afatit për paraqitjen e ofertave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mund të paraqesin pyetje me shkrim në adresën e mëposhtme deri përpara afatit për paraqitjen e ofertave, duke specifikuar referencën e publikimit dhe titullin e kontratës:</w:t>
      </w:r>
      <w:r w:rsidRPr="002F1F98">
        <w:rPr>
          <w:rFonts w:ascii="Times New Roman" w:eastAsia="Times New Roman" w:hAnsi="Times New Roman" w:cs="Times New Roman"/>
          <w:b/>
          <w:bCs/>
          <w:sz w:val="24"/>
          <w:szCs w:val="24"/>
        </w:rPr>
        <w:t xml:space="preserve"> Shërbime ekspertize të jashtme për aktivitetet e komunikimit dhe organizimin e wo</w:t>
      </w:r>
      <w:r w:rsidRPr="002F1F98">
        <w:rPr>
          <w:rFonts w:ascii="Times New Roman" w:eastAsia="Times New Roman" w:hAnsi="Times New Roman" w:cs="Times New Roman"/>
          <w:sz w:val="24"/>
          <w:szCs w:val="24"/>
        </w:rPr>
        <w:t>rkshopeve për proje</w:t>
      </w:r>
      <w:r w:rsidRPr="002F1F98">
        <w:rPr>
          <w:rFonts w:ascii="Times New Roman" w:eastAsia="Times New Roman" w:hAnsi="Times New Roman" w:cs="Times New Roman"/>
          <w:b/>
          <w:bCs/>
          <w:sz w:val="24"/>
          <w:szCs w:val="24"/>
        </w:rPr>
        <w:t>ktin SA SPICE – Mbështetja e inovacionit profesional në sipërmarrjen kul</w:t>
      </w:r>
      <w:r w:rsidRPr="002F1F98">
        <w:rPr>
          <w:rFonts w:ascii="Times New Roman" w:eastAsia="Times New Roman" w:hAnsi="Times New Roman" w:cs="Times New Roman"/>
          <w:sz w:val="24"/>
          <w:szCs w:val="24"/>
        </w:rPr>
        <w:t>inare, fina</w:t>
      </w:r>
      <w:r w:rsidRPr="002F1F98">
        <w:rPr>
          <w:rFonts w:ascii="Times New Roman" w:eastAsia="Times New Roman" w:hAnsi="Times New Roman" w:cs="Times New Roman"/>
          <w:b/>
          <w:bCs/>
          <w:sz w:val="24"/>
          <w:szCs w:val="24"/>
        </w:rPr>
        <w:t>ncuar nga Interreg IPA Adriatiku Jugo</w:t>
      </w:r>
      <w:r w:rsidRPr="002F1F98">
        <w:rPr>
          <w:rFonts w:ascii="Times New Roman" w:eastAsia="Times New Roman" w:hAnsi="Times New Roman" w:cs="Times New Roman"/>
          <w:sz w:val="24"/>
          <w:szCs w:val="24"/>
        </w:rPr>
        <w:t xml:space="preserve">r 2021–2027, në kuadër të Programit Interreg IPA Adriatiku Jugor 2021–2027 / </w:t>
      </w:r>
      <w:r w:rsidRPr="002F1F98">
        <w:rPr>
          <w:rFonts w:ascii="Times New Roman" w:eastAsia="Times New Roman" w:hAnsi="Times New Roman" w:cs="Times New Roman"/>
          <w:b/>
          <w:bCs/>
          <w:sz w:val="24"/>
          <w:szCs w:val="24"/>
        </w:rPr>
        <w:t>SA-0300384 – SPICE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mund të paraqesin pyetje me shkrim në adresën e mëposhtme deri 10 ditë përpara afatit për paraqitjen:</w:t>
      </w:r>
    </w:p>
    <w:p w:rsidR="002F1F98" w:rsidRPr="002F1F98" w:rsidRDefault="0004153D" w:rsidP="0004153D">
      <w:pPr>
        <w:spacing w:before="100" w:beforeAutospacing="1" w:after="100" w:afterAutospacing="1"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Bashkia  Vlorë</w:t>
      </w:r>
      <w:proofErr w:type="gramEnd"/>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Sheshi “4 Heronjtë”</w:t>
      </w:r>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 xml:space="preserve">E-mail: </w:t>
      </w:r>
      <w:hyperlink r:id="rId11" w:history="1">
        <w:r w:rsidRPr="002F1F98">
          <w:rPr>
            <w:rFonts w:ascii="Times New Roman" w:eastAsia="Times New Roman" w:hAnsi="Times New Roman" w:cs="Times New Roman"/>
            <w:b/>
            <w:bCs/>
            <w:color w:val="0000FF"/>
            <w:sz w:val="24"/>
            <w:szCs w:val="24"/>
            <w:u w:val="single"/>
          </w:rPr>
          <w:t>info@vlora.gov.al</w:t>
        </w:r>
      </w:hyperlink>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Orari i punës: E hënë–E premte 8:00–16:00</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Autoriteti kontraktues nuk ka detyrim të japë sqarime pas kësaj date. Çdo sqarim i dosjes së tenderit do t’u komunikohet njëkohësisht të gjithë ofertuesve më së voni 8 ditë kalendarike përpara afatit për paraqitjen e ofertave.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Çdo ofertues që kërkon të organizojë takime individuale me autoritetin kontraktues dhe/ose qeverinë e vendit partner dhe/ose Komisionin Evropian në lidhje me këtë kontratë gjatë periudhës së tenderimit mund të përjashtohet nga procedura e tenderimit.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Nuk parashikohet asnjë takim informues ose vizitë në terren.</w:t>
      </w:r>
    </w:p>
    <w:p w:rsidR="002F1F98" w:rsidRPr="002F1F98" w:rsidRDefault="002F1F98" w:rsidP="002F1F98">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Paraqitja e ofertave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Ofertat duhet t’i dërgohen autoritetit kontraktues deri më </w:t>
      </w:r>
      <w:r w:rsidRPr="002F1F98">
        <w:rPr>
          <w:rFonts w:ascii="Times New Roman" w:eastAsia="Times New Roman" w:hAnsi="Times New Roman" w:cs="Times New Roman"/>
          <w:b/>
          <w:bCs/>
          <w:sz w:val="24"/>
          <w:szCs w:val="24"/>
        </w:rPr>
        <w:t>18.10.2026, ora 16:00.</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Ato duhet të përfshijnë dokumentet e kërkuara në pikën 4 më sipër dhe të dërgohen:</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lastRenderedPageBreak/>
        <w:t xml:space="preserve">Paraqitja në letër me postë, rast në të cilin prova do të përbëhet nga vula postare ose data e mandat-pagesës, në </w:t>
      </w:r>
      <w:proofErr w:type="gramStart"/>
      <w:r w:rsidRPr="002F1F98">
        <w:rPr>
          <w:rFonts w:ascii="Times New Roman" w:eastAsia="Times New Roman" w:hAnsi="Times New Roman" w:cs="Times New Roman"/>
          <w:sz w:val="24"/>
          <w:szCs w:val="24"/>
        </w:rPr>
        <w:t>adr</w:t>
      </w:r>
      <w:proofErr w:type="gramEnd"/>
      <w:r w:rsidRPr="002F1F98">
        <w:rPr>
          <w:rFonts w:ascii="Times New Roman" w:eastAsia="Times New Roman" w:hAnsi="Times New Roman" w:cs="Times New Roman"/>
          <w:sz w:val="24"/>
          <w:szCs w:val="24"/>
          <w:vertAlign w:val="superscript"/>
        </w:rPr>
        <w:fldChar w:fldCharType="begin"/>
      </w:r>
      <w:r w:rsidRPr="002F1F98">
        <w:rPr>
          <w:rFonts w:ascii="Times New Roman" w:eastAsia="Times New Roman" w:hAnsi="Times New Roman" w:cs="Times New Roman"/>
          <w:sz w:val="24"/>
          <w:szCs w:val="24"/>
          <w:vertAlign w:val="superscript"/>
        </w:rPr>
        <w:instrText xml:space="preserve"> HYPERLINK "https://replit.com/chats/perkthim-duke-ruajtur-formatin-dhe-cnv_0kfymgej4k8jtt14svqx26yab7?sidebar=open" \l "footnote-2" </w:instrText>
      </w:r>
      <w:r w:rsidRPr="002F1F98">
        <w:rPr>
          <w:rFonts w:ascii="Times New Roman" w:eastAsia="Times New Roman" w:hAnsi="Times New Roman" w:cs="Times New Roman"/>
          <w:sz w:val="24"/>
          <w:szCs w:val="24"/>
          <w:vertAlign w:val="superscript"/>
        </w:rPr>
        <w:fldChar w:fldCharType="separate"/>
      </w:r>
      <w:r w:rsidRPr="002F1F98">
        <w:rPr>
          <w:rFonts w:ascii="Times New Roman" w:eastAsia="Times New Roman" w:hAnsi="Times New Roman" w:cs="Times New Roman"/>
          <w:color w:val="0000FF"/>
          <w:sz w:val="24"/>
          <w:szCs w:val="24"/>
          <w:u w:val="single"/>
          <w:vertAlign w:val="superscript"/>
        </w:rPr>
        <w:t>[2]</w:t>
      </w:r>
      <w:r w:rsidRPr="002F1F98">
        <w:rPr>
          <w:rFonts w:ascii="Times New Roman" w:eastAsia="Times New Roman" w:hAnsi="Times New Roman" w:cs="Times New Roman"/>
          <w:sz w:val="24"/>
          <w:szCs w:val="24"/>
          <w:vertAlign w:val="superscript"/>
        </w:rPr>
        <w:fldChar w:fldCharType="end"/>
      </w:r>
      <w:r w:rsidRPr="002F1F98">
        <w:rPr>
          <w:rFonts w:ascii="Times New Roman" w:eastAsia="Times New Roman" w:hAnsi="Times New Roman" w:cs="Times New Roman"/>
          <w:sz w:val="24"/>
          <w:szCs w:val="24"/>
        </w:rPr>
        <w:t>esën:</w:t>
      </w:r>
    </w:p>
    <w:p w:rsidR="002F1F98" w:rsidRPr="002F1F98" w:rsidRDefault="0004153D" w:rsidP="0004153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Bashkia VLORË</w:t>
      </w:r>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Drejtoria e Projekteve të Huaja, Integrimit Evropian dhe Diasporës</w:t>
      </w:r>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Sheshi “4 Heronjtë”, Vlorë, Shqipëri</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OS</w:t>
      </w:r>
      <w:r w:rsidRPr="002F1F98">
        <w:rPr>
          <w:rFonts w:ascii="Times New Roman" w:eastAsia="Times New Roman" w:hAnsi="Times New Roman" w:cs="Times New Roman"/>
          <w:sz w:val="24"/>
          <w:szCs w:val="24"/>
        </w:rPr>
        <w:t>E</w:t>
      </w:r>
      <w:r w:rsidRPr="002F1F98">
        <w:rPr>
          <w:rFonts w:ascii="Times New Roman" w:eastAsia="Times New Roman" w:hAnsi="Times New Roman" w:cs="Times New Roman"/>
          <w:b/>
          <w:bCs/>
          <w:sz w:val="24"/>
          <w:szCs w:val="24"/>
        </w:rPr>
        <w:t xml:space="preserve"> dorëzuar pe</w:t>
      </w:r>
      <w:r w:rsidRPr="002F1F98">
        <w:rPr>
          <w:rFonts w:ascii="Times New Roman" w:eastAsia="Times New Roman" w:hAnsi="Times New Roman" w:cs="Times New Roman"/>
          <w:sz w:val="24"/>
          <w:szCs w:val="24"/>
        </w:rPr>
        <w:t>rsonalisht nga pjesëmarrësi në ambientet e autoritetit kontraktues, kund</w:t>
      </w:r>
      <w:r w:rsidRPr="002F1F98">
        <w:rPr>
          <w:rFonts w:ascii="Times New Roman" w:eastAsia="Times New Roman" w:hAnsi="Times New Roman" w:cs="Times New Roman"/>
          <w:b/>
          <w:bCs/>
          <w:sz w:val="24"/>
          <w:szCs w:val="24"/>
        </w:rPr>
        <w:t>rejt një dëftese të në</w:t>
      </w:r>
      <w:r w:rsidRPr="002F1F98">
        <w:rPr>
          <w:rFonts w:ascii="Times New Roman" w:eastAsia="Times New Roman" w:hAnsi="Times New Roman" w:cs="Times New Roman"/>
          <w:sz w:val="24"/>
          <w:szCs w:val="24"/>
        </w:rPr>
        <w:t>nshkruar dhe të datuar, rast në të cilin prova do të përbëhet nga kjo dëftesë, në adresën:</w:t>
      </w:r>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Bashkia e VLORËS</w:t>
      </w:r>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Drejtoria e Projekteve të Huaja, Integrimit Evropian dhe Diasporës</w:t>
      </w:r>
    </w:p>
    <w:p w:rsidR="002F1F98" w:rsidRPr="002F1F98" w:rsidRDefault="002F1F98" w:rsidP="0004153D">
      <w:pPr>
        <w:spacing w:before="100" w:beforeAutospacing="1" w:after="100" w:afterAutospacing="1" w:line="240" w:lineRule="auto"/>
        <w:jc w:val="center"/>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Sheshi “4 Heronjtë”, Vlorë, Shqipëri</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Autoriteti kontraktues mund, për arsye të efikasitetit administrativ, të refuzojë çdo kërkesë për pjesëmarrje ose ofertë të dorëzuar në kohë në shërbimin postar, por të marrë, për çfarëdo arsye jashtë kontrollit të autoritetit kontraktues, pas datës së hyrjes në fuqi të miratimit të raportit të listës së ngushtë ose të raportit të vlerësimit, nëse pranimi i kërkesave për pjesëmarrje ose ofertave që janë dorëzuar në kohë, por kanë mbërritur me vonesë, do të vononte ndjeshëm procedurën e vlerësimit ose do të rrezikonte vendimet e marra dhe të njoftuara tashmë.</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O</w:t>
      </w:r>
      <w:r w:rsidRPr="002F1F98">
        <w:rPr>
          <w:rFonts w:ascii="Times New Roman" w:eastAsia="Times New Roman" w:hAnsi="Times New Roman" w:cs="Times New Roman"/>
          <w:sz w:val="24"/>
          <w:szCs w:val="24"/>
        </w:rPr>
        <w:t xml:space="preserve">fertat duhet të paraqiten duke përdorur sistemin e zarfit të dyfishtë, d.m.th. </w:t>
      </w:r>
      <w:proofErr w:type="gramStart"/>
      <w:r w:rsidRPr="002F1F98">
        <w:rPr>
          <w:rFonts w:ascii="Times New Roman" w:eastAsia="Times New Roman" w:hAnsi="Times New Roman" w:cs="Times New Roman"/>
          <w:sz w:val="24"/>
          <w:szCs w:val="24"/>
        </w:rPr>
        <w:t>në</w:t>
      </w:r>
      <w:proofErr w:type="gramEnd"/>
      <w:r w:rsidRPr="002F1F98">
        <w:rPr>
          <w:rFonts w:ascii="Times New Roman" w:eastAsia="Times New Roman" w:hAnsi="Times New Roman" w:cs="Times New Roman"/>
          <w:sz w:val="24"/>
          <w:szCs w:val="24"/>
        </w:rPr>
        <w:t xml:space="preserve"> një pako ose zarf të jashtëm që përmban dy zarfe të veçantë dhe të mbyllur, njëri me shënimin “Z</w:t>
      </w:r>
      <w:r w:rsidRPr="002F1F98">
        <w:rPr>
          <w:rFonts w:ascii="Times New Roman" w:eastAsia="Times New Roman" w:hAnsi="Times New Roman" w:cs="Times New Roman"/>
          <w:b/>
          <w:bCs/>
          <w:sz w:val="24"/>
          <w:szCs w:val="24"/>
        </w:rPr>
        <w:t>arfi A — Oferta teknike” dhe tj</w:t>
      </w:r>
      <w:r w:rsidRPr="002F1F98">
        <w:rPr>
          <w:rFonts w:ascii="Times New Roman" w:eastAsia="Times New Roman" w:hAnsi="Times New Roman" w:cs="Times New Roman"/>
          <w:sz w:val="24"/>
          <w:szCs w:val="24"/>
        </w:rPr>
        <w:t>etri me shënimin “</w:t>
      </w:r>
      <w:r w:rsidRPr="002F1F98">
        <w:rPr>
          <w:rFonts w:ascii="Times New Roman" w:eastAsia="Times New Roman" w:hAnsi="Times New Roman" w:cs="Times New Roman"/>
          <w:b/>
          <w:bCs/>
          <w:sz w:val="24"/>
          <w:szCs w:val="24"/>
        </w:rPr>
        <w:t>Zarfi B — Oferta financiare”. Të</w:t>
      </w:r>
      <w:r w:rsidRPr="002F1F98">
        <w:rPr>
          <w:rFonts w:ascii="Times New Roman" w:eastAsia="Times New Roman" w:hAnsi="Times New Roman" w:cs="Times New Roman"/>
          <w:sz w:val="24"/>
          <w:szCs w:val="24"/>
        </w:rPr>
        <w:t xml:space="preserve"> gjitha pjesët e ofertës, përveç ofertës financiare, duhet të dorëzohen në Zarfin A (d.m.th. duke përfshirë formularin e paraqitjes së ofertës, deklaratat e ekskluzivitetit dhe disponueshmërisë së ekspertëve kryesorë dhe deklaratat).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Zarfi i jashtëm duhet të përmbajë informacionin e mëposhtëm:</w:t>
      </w:r>
    </w:p>
    <w:p w:rsidR="002F1F98" w:rsidRPr="002F1F98" w:rsidRDefault="002F1F98" w:rsidP="002F1F98">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adresën për dorëzimin e ofertave të treguar më sipër;</w:t>
      </w:r>
    </w:p>
    <w:p w:rsidR="002F1F98" w:rsidRPr="002F1F98" w:rsidRDefault="002F1F98" w:rsidP="002F1F98">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kodin e referencës së procedurës së tenderimit</w:t>
      </w:r>
      <w:r w:rsidRPr="002F1F98">
        <w:rPr>
          <w:rFonts w:ascii="Times New Roman" w:eastAsia="Times New Roman" w:hAnsi="Times New Roman" w:cs="Times New Roman"/>
          <w:b/>
          <w:bCs/>
          <w:sz w:val="24"/>
          <w:szCs w:val="24"/>
        </w:rPr>
        <w:t xml:space="preserve">: Shërbime ekspertize të jashtme për aktivitetet e komunikimit dhe organizimin e </w:t>
      </w:r>
      <w:r w:rsidRPr="002F1F98">
        <w:rPr>
          <w:rFonts w:ascii="Times New Roman" w:eastAsia="Times New Roman" w:hAnsi="Times New Roman" w:cs="Times New Roman"/>
          <w:sz w:val="24"/>
          <w:szCs w:val="24"/>
        </w:rPr>
        <w:t>workshopeve për pro</w:t>
      </w:r>
      <w:r w:rsidRPr="002F1F98">
        <w:rPr>
          <w:rFonts w:ascii="Times New Roman" w:eastAsia="Times New Roman" w:hAnsi="Times New Roman" w:cs="Times New Roman"/>
          <w:b/>
          <w:bCs/>
          <w:sz w:val="24"/>
          <w:szCs w:val="24"/>
        </w:rPr>
        <w:t>jektin SA SPICE – Mbështetja e inovacionit profesional në sipërmarrjen ku</w:t>
      </w:r>
      <w:r w:rsidRPr="002F1F98">
        <w:rPr>
          <w:rFonts w:ascii="Times New Roman" w:eastAsia="Times New Roman" w:hAnsi="Times New Roman" w:cs="Times New Roman"/>
          <w:sz w:val="24"/>
          <w:szCs w:val="24"/>
        </w:rPr>
        <w:t>linare, fin</w:t>
      </w:r>
      <w:r w:rsidRPr="002F1F98">
        <w:rPr>
          <w:rFonts w:ascii="Times New Roman" w:eastAsia="Times New Roman" w:hAnsi="Times New Roman" w:cs="Times New Roman"/>
          <w:b/>
          <w:bCs/>
          <w:sz w:val="24"/>
          <w:szCs w:val="24"/>
        </w:rPr>
        <w:t>ancuar nga Interreg IPA Adriatiku Jug</w:t>
      </w:r>
      <w:r w:rsidRPr="002F1F98">
        <w:rPr>
          <w:rFonts w:ascii="Times New Roman" w:eastAsia="Times New Roman" w:hAnsi="Times New Roman" w:cs="Times New Roman"/>
          <w:sz w:val="24"/>
          <w:szCs w:val="24"/>
        </w:rPr>
        <w:t xml:space="preserve">or 2021–2027, në kuadër të Programit Interreg IPA Adriatiku Jugor 2021–2027 </w:t>
      </w:r>
      <w:r w:rsidRPr="002F1F98">
        <w:rPr>
          <w:rFonts w:ascii="Times New Roman" w:eastAsia="Times New Roman" w:hAnsi="Times New Roman" w:cs="Times New Roman"/>
          <w:b/>
          <w:bCs/>
          <w:sz w:val="24"/>
          <w:szCs w:val="24"/>
        </w:rPr>
        <w:t>SA-0300384/SPICE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c) </w:t>
      </w:r>
      <w:proofErr w:type="gramStart"/>
      <w:r w:rsidRPr="002F1F98">
        <w:rPr>
          <w:rFonts w:ascii="Times New Roman" w:eastAsia="Times New Roman" w:hAnsi="Times New Roman" w:cs="Times New Roman"/>
          <w:sz w:val="24"/>
          <w:szCs w:val="24"/>
        </w:rPr>
        <w:t>fjalët</w:t>
      </w:r>
      <w:proofErr w:type="gramEnd"/>
      <w:r w:rsidRPr="002F1F98">
        <w:rPr>
          <w:rFonts w:ascii="Times New Roman" w:eastAsia="Times New Roman" w:hAnsi="Times New Roman" w:cs="Times New Roman"/>
          <w:sz w:val="24"/>
          <w:szCs w:val="24"/>
        </w:rPr>
        <w:t xml:space="preserve"> </w:t>
      </w:r>
      <w:r w:rsidRPr="002F1F98">
        <w:rPr>
          <w:rFonts w:ascii="Times New Roman" w:eastAsia="Times New Roman" w:hAnsi="Times New Roman" w:cs="Times New Roman"/>
          <w:b/>
          <w:sz w:val="24"/>
          <w:szCs w:val="24"/>
        </w:rPr>
        <w:t>“Mos u hap para sesionit të hapjes së ofertave”</w:t>
      </w:r>
      <w:r w:rsidRPr="002F1F98">
        <w:rPr>
          <w:rFonts w:ascii="Times New Roman" w:eastAsia="Times New Roman" w:hAnsi="Times New Roman" w:cs="Times New Roman"/>
          <w:sz w:val="24"/>
          <w:szCs w:val="24"/>
        </w:rPr>
        <w:t xml:space="preserve"> dhe shprehja ekuivalente në gjuhën vendase;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d) </w:t>
      </w:r>
      <w:proofErr w:type="gramStart"/>
      <w:r w:rsidRPr="002F1F98">
        <w:rPr>
          <w:rFonts w:ascii="Times New Roman" w:eastAsia="Times New Roman" w:hAnsi="Times New Roman" w:cs="Times New Roman"/>
          <w:sz w:val="24"/>
          <w:szCs w:val="24"/>
        </w:rPr>
        <w:t>emrin</w:t>
      </w:r>
      <w:proofErr w:type="gramEnd"/>
      <w:r w:rsidRPr="002F1F98">
        <w:rPr>
          <w:rFonts w:ascii="Times New Roman" w:eastAsia="Times New Roman" w:hAnsi="Times New Roman" w:cs="Times New Roman"/>
          <w:sz w:val="24"/>
          <w:szCs w:val="24"/>
        </w:rPr>
        <w:t xml:space="preserve"> e ofertuesit.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lastRenderedPageBreak/>
        <w:t>Çdo zarf duhet të përmbajë një indeks të përmbajtjes së tij. Faqet e ofertave teknike dhe financiare duhet të numërohen.</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Ndryshimi ose tërheqja e ofertave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Paraqitja në letër:</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mund t’i ndryshojnë ose t’i tërheqin ofertat e tyre me njoftim me shkrim përpara afatit për paraqitjen e ofertave. Ofertat nuk mund të ndryshohen pas këtij afati.</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Çdo njoftim i tillë për ndryshim ose tërheqje duhet të përgatitet dhe të paraqitet në përputhje me pikën 8. Zarfi i jashtëm (dhe zarfi i brendshëm përkatës) duhet të shënohet “Ndryshim” ose “Tërheqje”, sipas rastit.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Kostot e përgatitjes së ofertave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Asnjë kosto e kryer nga ofertuesi për përgatitjen dhe paraqitjen e ofertës nuk rimbursohet. Të gjitha këto kosto duhet të përballohen nga ofertuesi, duke përfshirë koston e intervistimit të ekspertëve të propozuar.</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Pronësia e ofertave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Autoriteti kontraktues ruan pronësinë e të gjitha ofertave të marra në kuadër të kësaj procedure tenderimi. Për rrjedhojë, ofertuesit nuk kanë të drejtë t’u kthehen ofertat e tyre.</w:t>
      </w:r>
    </w:p>
    <w:p w:rsidR="002F1F98" w:rsidRPr="002F1F98" w:rsidRDefault="002F1F98" w:rsidP="0004153D">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Vlerësimi i ofertave</w:t>
      </w:r>
    </w:p>
    <w:p w:rsidR="0004153D" w:rsidRDefault="0004153D" w:rsidP="002F1F98">
      <w:pPr>
        <w:spacing w:before="100" w:beforeAutospacing="1" w:after="100" w:afterAutospacing="1" w:line="240" w:lineRule="auto"/>
        <w:rPr>
          <w:rFonts w:ascii="Times New Roman" w:eastAsia="Times New Roman" w:hAnsi="Times New Roman" w:cs="Times New Roman"/>
          <w:b/>
          <w:bCs/>
          <w:sz w:val="24"/>
          <w:szCs w:val="24"/>
        </w:rPr>
      </w:pP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12.1. Vlerësimi i ofertave teknike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Cilësia e çdo oferte teknike do të vlerësohet në përputhje me kriteret e dhënies së kontratës dhe peshën e përcaktuar në tabelën e vlerësimit në Pjesën C të kësaj dosjeje tenderi. Nuk do të përdoren kritere të tjera dhënieje. Kriteret e dhënies së kontratës do të shqyrtohen në përputhje me kërkesat e treguara në termat e referencës.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Vlerësimi i ofertave teknike do të ndjekë procedurat e përcaktuara në Seksionin 3.4.10.3 të udhëzuesit praktik (i disponueshëm në internet në:</w:t>
      </w:r>
    </w:p>
    <w:p w:rsidR="002F1F98" w:rsidRPr="002F1F98" w:rsidRDefault="00E57747" w:rsidP="002F1F98">
      <w:pPr>
        <w:spacing w:before="100" w:beforeAutospacing="1" w:after="100" w:afterAutospacing="1" w:line="240" w:lineRule="auto"/>
        <w:rPr>
          <w:rFonts w:ascii="Times New Roman" w:eastAsia="Times New Roman" w:hAnsi="Times New Roman" w:cs="Times New Roman"/>
          <w:sz w:val="24"/>
          <w:szCs w:val="24"/>
        </w:rPr>
      </w:pPr>
      <w:hyperlink r:id="rId12" w:history="1">
        <w:r w:rsidR="002F1F98" w:rsidRPr="002F1F98">
          <w:rPr>
            <w:rFonts w:ascii="Times New Roman" w:eastAsia="Times New Roman" w:hAnsi="Times New Roman" w:cs="Times New Roman"/>
            <w:color w:val="0000FF"/>
            <w:sz w:val="24"/>
            <w:szCs w:val="24"/>
            <w:u w:val="single"/>
          </w:rPr>
          <w:t>https://wikis.ec.europa.eu/display/ExactExternalWiki/3.+Service+Contracts</w:t>
        </w:r>
      </w:hyperlink>
      <w:r w:rsidR="002F1F98" w:rsidRPr="002F1F98">
        <w:rPr>
          <w:rFonts w:ascii="Times New Roman" w:eastAsia="Times New Roman" w:hAnsi="Times New Roman" w:cs="Times New Roman"/>
          <w:sz w:val="24"/>
          <w:szCs w:val="24"/>
        </w:rPr>
        <w: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12.1.1. Intervistat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N/A</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12.2. Vlerësimi i ofertave financiare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lastRenderedPageBreak/>
        <w:t>Pas përfundimit të vlerësimit teknik, do të hapen zarfet që përmbajnë ofertat financiare për ofertat që nuk janë eliminuar gjatë vlerësimit teknik (d.m.th. ato me një rezultat mesatar prej 75 pikësh ose më shumë). Ofertat që tejkalojnë buxhetin maksimal të disponueshëm për kontratën nuk do të pranohen dhe për këtë arsye nuk do të vlerësohen më tej.]</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12.3. Përfundimet paraprake të komitetit të vlerësimit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Raporti më i mirë cilësi–çmim përcaktohet duke peshuar cilësinë teknike kundrejt çmimit në raportin 80/20.</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12.4. Verifikimet me ofertuesin e supozuar fitues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Procedura e thjeshtuar: të mos përdoret nëse Autoriteti Kontraktues ka vendosur në Udhëzimet për Ofertuesit të mos kërkojë provat dokumentare për kriteret e përzgjedhjes.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Autoriteti kontraktues do t’i kërkojë ofertuesit të supozuar fitues të paraqesë </w:t>
      </w:r>
      <w:proofErr w:type="gramStart"/>
      <w:r w:rsidRPr="002F1F98">
        <w:rPr>
          <w:rFonts w:ascii="Times New Roman" w:eastAsia="Times New Roman" w:hAnsi="Times New Roman" w:cs="Times New Roman"/>
          <w:sz w:val="24"/>
          <w:szCs w:val="24"/>
        </w:rPr>
        <w:t>brenda</w:t>
      </w:r>
      <w:proofErr w:type="gramEnd"/>
      <w:r w:rsidRPr="002F1F98">
        <w:rPr>
          <w:rFonts w:ascii="Times New Roman" w:eastAsia="Times New Roman" w:hAnsi="Times New Roman" w:cs="Times New Roman"/>
          <w:sz w:val="24"/>
          <w:szCs w:val="24"/>
        </w:rPr>
        <w:t xml:space="preserve"> 7 ditëve nga data e njoftimit:</w:t>
      </w:r>
    </w:p>
    <w:p w:rsidR="002F1F98" w:rsidRPr="002F1F98" w:rsidRDefault="002F1F98" w:rsidP="0004153D">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deklaratën origjinale të nënshkruar të nderit për kriteret e përjashtimit dhe të përzgjedhjes;</w:t>
      </w:r>
    </w:p>
    <w:p w:rsidR="002F1F98" w:rsidRPr="002F1F98" w:rsidRDefault="002F1F98" w:rsidP="0004153D">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provat dokumentare për kriteret e përjashtimit;</w:t>
      </w:r>
    </w:p>
    <w:p w:rsidR="002F1F98" w:rsidRPr="002F1F98" w:rsidRDefault="002F1F98" w:rsidP="0004153D">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provat dokumentare për kriteret e përzgjedhjes;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Njoftimi për ofertuesin e supozuar fitues do të bëhet me mjete elektronike. </w:t>
      </w:r>
      <w:proofErr w:type="gramStart"/>
      <w:r w:rsidRPr="002F1F98">
        <w:rPr>
          <w:rFonts w:ascii="Times New Roman" w:eastAsia="Times New Roman" w:hAnsi="Times New Roman" w:cs="Times New Roman"/>
          <w:sz w:val="24"/>
          <w:szCs w:val="24"/>
        </w:rPr>
        <w:t>Ky</w:t>
      </w:r>
      <w:proofErr w:type="gramEnd"/>
      <w:r w:rsidRPr="002F1F98">
        <w:rPr>
          <w:rFonts w:ascii="Times New Roman" w:eastAsia="Times New Roman" w:hAnsi="Times New Roman" w:cs="Times New Roman"/>
          <w:sz w:val="24"/>
          <w:szCs w:val="24"/>
        </w:rPr>
        <w:t xml:space="preserve"> njoftim do të konsiderohet i marrë në datën në të cilën autoriteti kontraktues e dërgon atë në adresën elektronike të përmendur në formularin e ofertës.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12.5. Njoftimi i dhënies së kontratës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proofErr w:type="gramStart"/>
      <w:r w:rsidRPr="002F1F98">
        <w:rPr>
          <w:rFonts w:ascii="Times New Roman" w:eastAsia="Times New Roman" w:hAnsi="Times New Roman" w:cs="Times New Roman"/>
          <w:sz w:val="24"/>
          <w:szCs w:val="24"/>
        </w:rPr>
        <w:t>Ofertuesi(</w:t>
      </w:r>
      <w:proofErr w:type="gramEnd"/>
      <w:r w:rsidRPr="002F1F98">
        <w:rPr>
          <w:rFonts w:ascii="Times New Roman" w:eastAsia="Times New Roman" w:hAnsi="Times New Roman" w:cs="Times New Roman"/>
          <w:sz w:val="24"/>
          <w:szCs w:val="24"/>
        </w:rPr>
        <w:t>t) do të njoftohet/njoftohen me shkrim për rezultatin e kësaj procedure prokurimi.</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12.6. Konfidencialiteti</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E gjithë procedura e vlerësimit është konfidenciale, në varësi të legjislacionit të autoritetit kontraktues për aksesin në dokumente. Vendimet e komitetit të vlerësimit janë kolektive dhe diskutimet e tij zhvillohen në seancë të mbyllur. Anëtarët e komitetit të vlerësimit janë të detyruar të ruajnë sekretin. Raportet e vlerësimit dhe procesverbalet me shkrim janë vetëm për përdorim zyrtar dhe nuk mund t’u komunikohen as ofertuesve dhe as ndonjë pale tjetër, përveç autoritetit kontraktues, Komisionit Evropian, panelit për Zbulimin e Hershëm dhe Përjashtimin, Zyrës Evropiane Kundër Mashtrimit dhe Gjykatës Evropiane të Auditorëve.</w:t>
      </w:r>
    </w:p>
    <w:p w:rsidR="002F1F98" w:rsidRPr="002F1F98" w:rsidRDefault="002F1F98" w:rsidP="0004153D">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Etika, vlerat dhe kodi i sjelljes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 Mungesa e konfliktit të interesit dhe e konfliktit të interesit profesional</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lastRenderedPageBreak/>
        <w:t>Ofertuesi nuk duhet të ndikohet nga ndonjë konflikt interesi profesional ose ndonjë konflikt interesi dhe nuk duhet të ketë marrëdhënie të ngjashme në këtë drejtim me ofertues të tjerë ose palë të përfshira në projekt. Çdo ndikim i padrejtë ose përpjekje për të ndikuar në mënyrë të padrejtë te komiteti i vlerësimit ose autoriteti kontraktues gjatë procesit të shqyrtimit, sqarimit, vlerësimit dhe krahasimit të ofertave, çdo përpjekje për të marrë informacion konfidencial ose për të lidhur marrëveshje të paligjshme me konkurrentët do të çojë në refuzimin e ofertës së tij dhe mund të rezultojë në përjashtimin nga procedurat e ardhshme të dhënies së kontratave dhe/ose gjoba financiare sipas Rregullores Financiare në fuqi.</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b) Respektimi i të drejtave të njeriut dhe vlerave të BE-së, si dhe i legjislacionit mjedisor dhe standardeve bazë të punës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 duhet të respektojë legjislacionin mjedisor dhe standardet bazë të punës: pjesëmarrësit të cilëve u jepet kontrata duhet të respektojnë legjislacionin mjedisor, duke përfshirë marrëveshjet shumëpalëshe mjedisore, dhe standardet bazë të punës sipas zbatimit dhe siç përcaktohen në konventat përkatëse të Organizatës Ndërkombëtare të Punës (siç janë konventat për lirinë e organizimit dhe negocimit kolektiv; eliminimin e punës së detyruar dhe të detyrueshme; heqjen e punës së fëmijëve).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 dhe personeli i tij duhet të angazhohen për respektimin e vlerave themelore të BE-së dhe ta garantojnë atë; ofertuesi dhe personeli i tij duhet të respektojnë vlera themelore të BE-së, si respekti për dinjitetin njerëzor, lirinë, demokracinë, barazinë, shtetin e së drejtës dhe të drejtat e njeriut, duke përfshirë të drejtat e pakicave.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 dhe personeli i tij duhet të respektojnë rregullat e zbatueshme për mbrojtjen e të dhënave dhe legjislacionin mjedisor. Në veçanti, ofertuesit të cilëve u është dhënë kontrata duhet të respektojnë gjithashtu marrëveshjet shumëpalëshe mjedisore dhe standardet bazë të punës sipas zbatimit dhe siç përcaktohen në konventat përkatëse të Organizatës Ndërkombëtare të Punës (siç janë konventat për lirinë e organizimit dhe negocimit kolektiv; eliminimin e punës së detyruar dhe të detyrueshme; heqjen e punës së fëmijëve).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 dhe personeli i tij duhet të respektojnë vlerat e BE-së, si respekti për dinjitetin njerëzor, lirinë, demokracinë, barazinë, shtetin e së drejtës dhe të drejtat e njeriut, duke përfshirë të drejtat e pakicave.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Tolerancë zero ndaj shfrytëzimit seksual, abuzimit dhe ngacmimit: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Komisioni Evropian zbaton një politikë “tolerance zero” në lidhje me çdo sjellje të pahijshme që ndikon në besueshmërinë profesionale të ofertuesit.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Abuzimi ose ndëshkimi fizik, apo kërcënimet për abuzim fizik, abuzimi ose shfrytëzimi seksual, ngacmimi dhe abuzimi verbal, si dhe forma të tjera frikësimi, janë të ndaluara.</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c) Kundër korrupsionit dhe ryshfetit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lastRenderedPageBreak/>
        <w:t>Ofertuesi duhet të respektojë të gjitha ligjet, rregulloret dhe kodet e zbatueshme në lidhje me luftën kundër ryshfetit dhe korrupsionit. Komisioni Evropian rezervon të drejtën të pezullojë ose anulojë financimin e projektit nëse praktika korruptive të çfarëdo lloji zbulohen në çdo fazë të procesit të dhënies së kontratës ose gjatë zbatimit të një kontrate dhe nëse autoriteti kontraktues nuk merr të gjitha masat e duhura për ta korrigjuar situatën. Për qëllimet e kësaj dispozite, “praktika korruptive” janë ofrimi i ryshfetit, dhuratës, shpërblimit ose komisionit ndaj çdo personi si nxitje ose shpërblim për kryerjen ose moskryerjen e një veprimi që lidhet me dhënien e një kontrate ose zbatimin e një kontrate tashmë të lidhur me autoritetin kontraktues.</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d) Shpenzime të pazakonta tregtare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Ofertat do të refuzohen ose kontratat do të ndërpriten nëse rezulton se dhënia ose zbatimi i një kontrate ka shkaktuar shpenzime të pazakonta tregtare. Shpenzime të tilla të pazakonta tregtare janë komisionet që nuk përmenden në kontratën kryesore ose që nuk rrjedhin nga një kontratë e lidhur rregullisht, e cila i referohet kontratës kryesore, komisionet që nuk paguhen në këmbim të ndonjë shërbimi real dhe të ligjshëm, komisionet e dërguara në një parajsë fiskale, komisionet e paguara një përfituesi që nuk është identifikuar qartë ose komisionet e paguara një shoqërie që duket qartazi se është shoqëri guaskë.</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Kontraktorët që konstatohet se kanë paguar shpenzime të pazakonta tregtare në projekte të financuara nga Bashkimi Evropian, në varësi të rëndësisë së fakteve të vërejtura, mund t’u ndërpriten kontratat ose të përjashtohen nga procedurat e ardhshme të dhënies së kontratave.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e) Shkelja e detyrimeve, parregullsitë ose mashtrimi</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Autoriteti kontraktues rezervon të drejtën të pezullojë ose anulojë procedurën kur rezulton se procedura e dhënies së kontratës i është nënshtruar shkeljes së detyrimeve, parregullsive ose mashtrimit. Nëse shkelja e detyrimeve, parregullsitë ose mashtrimi zbulohen pas dhënies së kontratës, autoriteti kontraktues mund të mos e lidhë kontratën.</w:t>
      </w:r>
    </w:p>
    <w:p w:rsidR="002F1F98" w:rsidRDefault="0004153D" w:rsidP="0004153D">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14. </w:t>
      </w:r>
      <w:r w:rsidR="002F1F98" w:rsidRPr="002F1F98">
        <w:rPr>
          <w:rFonts w:ascii="Times New Roman" w:eastAsia="Times New Roman" w:hAnsi="Times New Roman" w:cs="Times New Roman"/>
          <w:b/>
          <w:bCs/>
          <w:sz w:val="24"/>
          <w:szCs w:val="24"/>
        </w:rPr>
        <w:t>Nënshkrimi i kontratës/kontratave</w:t>
      </w:r>
    </w:p>
    <w:p w:rsidR="0004153D" w:rsidRDefault="0004153D" w:rsidP="0004153D">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14.1 Njoftimi I dhenies se vendimit</w:t>
      </w:r>
    </w:p>
    <w:p w:rsidR="0004153D" w:rsidRPr="0004153D" w:rsidRDefault="0004153D" w:rsidP="0004153D">
      <w:pPr>
        <w:spacing w:before="100" w:beforeAutospacing="1" w:after="100" w:afterAutospacing="1" w:line="240" w:lineRule="auto"/>
        <w:rPr>
          <w:rFonts w:ascii="Times New Roman" w:eastAsia="Times New Roman" w:hAnsi="Times New Roman" w:cs="Times New Roman"/>
          <w:bCs/>
          <w:sz w:val="24"/>
          <w:szCs w:val="24"/>
        </w:rPr>
      </w:pPr>
      <w:r w:rsidRPr="0004153D">
        <w:rPr>
          <w:rFonts w:ascii="Times New Roman" w:eastAsia="Times New Roman" w:hAnsi="Times New Roman" w:cs="Times New Roman"/>
          <w:bCs/>
          <w:sz w:val="24"/>
          <w:szCs w:val="24"/>
        </w:rPr>
        <w:t xml:space="preserve">Ofertuesit do </w:t>
      </w:r>
      <w:proofErr w:type="gramStart"/>
      <w:r w:rsidRPr="0004153D">
        <w:rPr>
          <w:rFonts w:ascii="Times New Roman" w:eastAsia="Times New Roman" w:hAnsi="Times New Roman" w:cs="Times New Roman"/>
          <w:bCs/>
          <w:sz w:val="24"/>
          <w:szCs w:val="24"/>
        </w:rPr>
        <w:t>te</w:t>
      </w:r>
      <w:proofErr w:type="gramEnd"/>
      <w:r w:rsidRPr="0004153D">
        <w:rPr>
          <w:rFonts w:ascii="Times New Roman" w:eastAsia="Times New Roman" w:hAnsi="Times New Roman" w:cs="Times New Roman"/>
          <w:bCs/>
          <w:sz w:val="24"/>
          <w:szCs w:val="24"/>
        </w:rPr>
        <w:t xml:space="preserve"> njoftohen me shkrim per rezultatin e kesaj procedure prokurimi.</w:t>
      </w:r>
    </w:p>
    <w:p w:rsidR="0004153D" w:rsidRDefault="0004153D" w:rsidP="0004153D">
      <w:pPr>
        <w:spacing w:before="100" w:beforeAutospacing="1" w:after="100" w:afterAutospacing="1" w:line="240" w:lineRule="auto"/>
        <w:rPr>
          <w:rFonts w:ascii="Times New Roman" w:eastAsia="Times New Roman" w:hAnsi="Times New Roman" w:cs="Times New Roman"/>
          <w:b/>
          <w:bCs/>
          <w:sz w:val="24"/>
          <w:szCs w:val="24"/>
        </w:rPr>
      </w:pPr>
    </w:p>
    <w:p w:rsidR="0004153D" w:rsidRPr="002F1F98" w:rsidRDefault="0004153D" w:rsidP="0004153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14.2 Nenshkrimi i kontrates</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Brenda 30 ditëve nga marrja e kontratës, pala tjetër duhet ta nënshkruajë dhe datojë kontratën dhe ta kthejë atë.</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Nëse nuk është e mundur të nënshkruhet kontrata siç parashikohet në vendimin e dhënies së kontratës, ose nëse ofertuesi i suksesshëm nuk e nënshkruan kontratën siç kërkohet, autoriteti </w:t>
      </w:r>
      <w:r w:rsidRPr="002F1F98">
        <w:rPr>
          <w:rFonts w:ascii="Times New Roman" w:eastAsia="Times New Roman" w:hAnsi="Times New Roman" w:cs="Times New Roman"/>
          <w:sz w:val="24"/>
          <w:szCs w:val="24"/>
        </w:rPr>
        <w:lastRenderedPageBreak/>
        <w:t>kontraktues rezervon të drejtën të rishikojë vendimin e tij dhe, sipas rastit, t’ia japë kontratën një ofertuesi tjetër ose të anulojë procedurën.</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Nëse një ofertues të cilit i është dhënë kontrata (çdo anëtar i grupit në rastin e një konsorciumi) ka borxhe të përcaktuara ndaj Bashkimit, Komunitetit Evropian të Energjisë Atomike ose një agjencie ekzekutive kur kjo e fundit zbaton buxhetin e Bashkimit, këto borxhe mund të kompensohen, në përputhje me nenet 101(1) dhe 102 të Rregullores Financiare dhe kushtet e përcaktuara në projekt-kontratë, me çdo pagesë që i detyrohet sipas kontratës. Autoriteti kontraktues do të verifikojë ekzistencën e borxheve të papaguara të ofertuesit të suksesshëm (çdo anëtar i grupit në rastin e një konsorciumi) dhe, nëse gjendet ndonjë borxh i tillë, do të informojë ofertuesin (drejtuesin në rastin e një konsorciumi, i cili më pas do të ketë detyrimin të informojë të gjithë anëtarët e tjerë të grupit përpara nënshkrimit të kontratës) se borxhi/borxhet mund të kompensohen me çdo pagesë që i detyrohet sipas kontratës.</w:t>
      </w:r>
    </w:p>
    <w:p w:rsidR="002F1F98" w:rsidRPr="002F1F98" w:rsidRDefault="0004153D" w:rsidP="0004153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15. </w:t>
      </w:r>
      <w:r w:rsidR="002F1F98" w:rsidRPr="002F1F98">
        <w:rPr>
          <w:rFonts w:ascii="Times New Roman" w:eastAsia="Times New Roman" w:hAnsi="Times New Roman" w:cs="Times New Roman"/>
          <w:b/>
          <w:bCs/>
          <w:sz w:val="24"/>
          <w:szCs w:val="24"/>
        </w:rPr>
        <w:t>Anulimi i procedurës së tenderimit</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 rast anulimi të procedurës së tenderimit, autoriteti kontraktues do të njoftojë ofertuesit për anulimin.</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Nëse procedura e tenderimit anulohet përpara se të jetë hapur zarfi i jashtëm i ndonjë oferte, zarfet e pahapura dhe të mbyllura do t’u kthehen ofertuesve.</w:t>
      </w:r>
    </w:p>
    <w:p w:rsidR="002F1F98" w:rsidRP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Anulimi mund të ndodhë, për shembull, kur:</w:t>
      </w:r>
    </w:p>
    <w:p w:rsidR="002F1F98" w:rsidRPr="002F1F98" w:rsidRDefault="002F1F98" w:rsidP="0004153D">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F1F98">
        <w:rPr>
          <w:rFonts w:ascii="Times New Roman" w:eastAsia="Times New Roman" w:hAnsi="Times New Roman" w:cs="Times New Roman"/>
          <w:sz w:val="24"/>
          <w:szCs w:val="24"/>
        </w:rPr>
        <w:t>procedura</w:t>
      </w:r>
      <w:proofErr w:type="gramEnd"/>
      <w:r w:rsidRPr="002F1F98">
        <w:rPr>
          <w:rFonts w:ascii="Times New Roman" w:eastAsia="Times New Roman" w:hAnsi="Times New Roman" w:cs="Times New Roman"/>
          <w:sz w:val="24"/>
          <w:szCs w:val="24"/>
        </w:rPr>
        <w:t xml:space="preserve"> e tenderimit ka qenë e pasuksesshme, d.m.th. nuk është marrë asnjë ofertë e përshtatshme, cilësisht ose financiarisht e pranueshme, ose nuk ka fare përgjigje të vlefshme;</w:t>
      </w:r>
    </w:p>
    <w:p w:rsidR="002F1F98" w:rsidRPr="002F1F98" w:rsidRDefault="002F1F98" w:rsidP="0004153D">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ka ndryshime thelbësore në të dhënat ekonomike ose teknike të projektit;</w:t>
      </w:r>
    </w:p>
    <w:p w:rsidR="002F1F98" w:rsidRPr="002F1F98" w:rsidRDefault="002F1F98" w:rsidP="0004153D">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rrethana të jashtëzakonshme ose forca madhore e bëjnë të pamundur zbatimin normal të kontratës;</w:t>
      </w:r>
    </w:p>
    <w:p w:rsidR="002F1F98" w:rsidRPr="002F1F98" w:rsidRDefault="002F1F98" w:rsidP="0004153D">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të gjitha ofertat teknikisht të pranueshme tejkalojnë burimet financiare në dispozicion;</w:t>
      </w:r>
    </w:p>
    <w:p w:rsidR="002F1F98" w:rsidRPr="002F1F98" w:rsidRDefault="002F1F98" w:rsidP="0004153D">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ka pasur shkelje të detyrimeve, parregullsi ose mashtrime në procedurë, veçanërisht nëse ato kanë penguar konkurrencën e ndershme;</w:t>
      </w:r>
    </w:p>
    <w:p w:rsidR="002F1F98" w:rsidRPr="002F1F98" w:rsidRDefault="002F1F98" w:rsidP="0004153D">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F1F98">
        <w:rPr>
          <w:rFonts w:ascii="Times New Roman" w:eastAsia="Times New Roman" w:hAnsi="Times New Roman" w:cs="Times New Roman"/>
          <w:sz w:val="24"/>
          <w:szCs w:val="24"/>
        </w:rPr>
        <w:t>dhënia</w:t>
      </w:r>
      <w:proofErr w:type="gramEnd"/>
      <w:r w:rsidRPr="002F1F98">
        <w:rPr>
          <w:rFonts w:ascii="Times New Roman" w:eastAsia="Times New Roman" w:hAnsi="Times New Roman" w:cs="Times New Roman"/>
          <w:sz w:val="24"/>
          <w:szCs w:val="24"/>
        </w:rPr>
        <w:t xml:space="preserve"> e kontratës nuk është në përputhje me menaxhimin e shëndoshë financiar, d.m.th. </w:t>
      </w:r>
      <w:proofErr w:type="gramStart"/>
      <w:r w:rsidRPr="002F1F98">
        <w:rPr>
          <w:rFonts w:ascii="Times New Roman" w:eastAsia="Times New Roman" w:hAnsi="Times New Roman" w:cs="Times New Roman"/>
          <w:sz w:val="24"/>
          <w:szCs w:val="24"/>
        </w:rPr>
        <w:t>nuk</w:t>
      </w:r>
      <w:proofErr w:type="gramEnd"/>
      <w:r w:rsidRPr="002F1F98">
        <w:rPr>
          <w:rFonts w:ascii="Times New Roman" w:eastAsia="Times New Roman" w:hAnsi="Times New Roman" w:cs="Times New Roman"/>
          <w:sz w:val="24"/>
          <w:szCs w:val="24"/>
        </w:rPr>
        <w:t xml:space="preserve"> respekton parimet e ekonomisë, efikasitetit dhe efektivitetit (p.sh. çmimi i propozuar nga ofertuesi të cilit do t’i jepet kontrata është objektivisht joproporcional me çmimin e tregut).</w:t>
      </w:r>
    </w:p>
    <w:p w:rsidR="002F1F98" w:rsidRDefault="002F1F98" w:rsidP="0004153D">
      <w:pPr>
        <w:spacing w:before="100" w:beforeAutospacing="1" w:after="100" w:afterAutospacing="1" w:line="240" w:lineRule="auto"/>
        <w:jc w:val="both"/>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 asnjë rast autoriteti kontraktues nuk do të jetë përgjegjës për asnjë dëm, duke përfshirë, pa kufizim, dëmet për humbjen e fitimeve, në çfarëdo mënyre të lidhura me anulimin e një procedure tenderimi, edhe nëse autoriteti kontraktues është këshilluar për mundësinë e dëmeve. Publikimi i një njoftimi kontrate nuk e detyron autoritetin kontraktues të zbatojë programin ose projektin e njoftuar.</w:t>
      </w:r>
    </w:p>
    <w:p w:rsidR="0004153D"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04153D"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04153D" w:rsidRPr="002F1F98"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2F1F98" w:rsidRPr="002F1F98" w:rsidRDefault="0004153D" w:rsidP="0004153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16. </w:t>
      </w:r>
      <w:r w:rsidR="002F1F98" w:rsidRPr="002F1F98">
        <w:rPr>
          <w:rFonts w:ascii="Times New Roman" w:eastAsia="Times New Roman" w:hAnsi="Times New Roman" w:cs="Times New Roman"/>
          <w:b/>
          <w:bCs/>
          <w:sz w:val="24"/>
          <w:szCs w:val="24"/>
        </w:rPr>
        <w:t>Ankesat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Ofertuesit që besojnë se janë dëmtuar nga një gabim ose parregullsi gjatë procesit të dhënies së kontratës mund të paraqesin ankesë. Shihni Seksionin 2.12 të udhëzuesit praktik.</w:t>
      </w:r>
    </w:p>
    <w:p w:rsidR="0004153D" w:rsidRDefault="0004153D" w:rsidP="0004153D">
      <w:pPr>
        <w:spacing w:before="100" w:beforeAutospacing="1" w:after="100" w:afterAutospacing="1" w:line="240" w:lineRule="auto"/>
        <w:rPr>
          <w:rFonts w:ascii="Times New Roman" w:eastAsia="Times New Roman" w:hAnsi="Times New Roman" w:cs="Times New Roman"/>
          <w:b/>
          <w:bCs/>
          <w:sz w:val="24"/>
          <w:szCs w:val="24"/>
        </w:rPr>
      </w:pPr>
    </w:p>
    <w:p w:rsidR="002F1F98" w:rsidRPr="002F1F98" w:rsidRDefault="0004153D" w:rsidP="0004153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17. </w:t>
      </w:r>
      <w:r w:rsidR="002F1F98" w:rsidRPr="002F1F98">
        <w:rPr>
          <w:rFonts w:ascii="Times New Roman" w:eastAsia="Times New Roman" w:hAnsi="Times New Roman" w:cs="Times New Roman"/>
          <w:b/>
          <w:bCs/>
          <w:sz w:val="24"/>
          <w:szCs w:val="24"/>
        </w:rPr>
        <w:t>Mbrojtja e të dhënave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Përpunimi i të dhënave personale në lidhje me këtë procedurë tenderimi nga autoriteti kontraktues kryhet në përputhje me legjislacionin kombëtar të shtetit të autoritetit kontraktues dhe me dispozitat e marrëveshjes përkatëse të financimit.</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Procedura e tenderimit dhe kontrata lidhen me një veprim të jashtëm të financuar nga BE-ja, e përfaqësuar nga Komisioni Evropian. Nëse përpunimi i përgjigjes suaj ndaj ftesës për tender përfshin transferimin e të dhënave personale (si emrat, të dhënat e kontaktit dhe profili i ekspertit) te Komisioni Evropian, ato do të përpunohen vetëm për qëllimet e monitorimit të procedurës së prokurimit dhe zbatimit të kontratës nga Komisioni, në mënyrë që ky i fundit të përmbushë detyrimet e tij sipas kuadrit legjislativ në fuqi dhe marrëveshjes së financimit të lidhur ndërmjet BE-së dhe vendit partner, pa cenuar transmetimin e mundshëm te organet përgjegjëse për detyrat e monitorimit ose inspektimit në zbatim të së drejtës së BE-së. Për pjesën e të dhënave të transferuara nga autoriteti kontraktues te Komisioni Evropian, kontrolluesi i përpunimit të të dhënave personale të kryer </w:t>
      </w:r>
      <w:proofErr w:type="gramStart"/>
      <w:r w:rsidRPr="002F1F98">
        <w:rPr>
          <w:rFonts w:ascii="Times New Roman" w:eastAsia="Times New Roman" w:hAnsi="Times New Roman" w:cs="Times New Roman"/>
          <w:sz w:val="24"/>
          <w:szCs w:val="24"/>
        </w:rPr>
        <w:t>brenda</w:t>
      </w:r>
      <w:proofErr w:type="gramEnd"/>
      <w:r w:rsidRPr="002F1F98">
        <w:rPr>
          <w:rFonts w:ascii="Times New Roman" w:eastAsia="Times New Roman" w:hAnsi="Times New Roman" w:cs="Times New Roman"/>
          <w:sz w:val="24"/>
          <w:szCs w:val="24"/>
        </w:rPr>
        <w:t xml:space="preserve"> Komisionit është</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Detajet në lidhje me përpunimin e të dhënave tuaja personale nga Komisioni gjenden në deklaratën e privatësisë në:</w:t>
      </w:r>
    </w:p>
    <w:p w:rsidR="002F1F98" w:rsidRPr="002F1F98" w:rsidRDefault="00E57747" w:rsidP="002F1F98">
      <w:pPr>
        <w:spacing w:before="100" w:beforeAutospacing="1" w:after="100" w:afterAutospacing="1" w:line="240" w:lineRule="auto"/>
        <w:rPr>
          <w:rFonts w:ascii="Times New Roman" w:eastAsia="Times New Roman" w:hAnsi="Times New Roman" w:cs="Times New Roman"/>
          <w:sz w:val="24"/>
          <w:szCs w:val="24"/>
        </w:rPr>
      </w:pPr>
      <w:hyperlink r:id="rId13" w:history="1">
        <w:r w:rsidR="002F1F98" w:rsidRPr="002F1F98">
          <w:rPr>
            <w:rFonts w:ascii="Times New Roman" w:eastAsia="Times New Roman" w:hAnsi="Times New Roman" w:cs="Times New Roman"/>
            <w:color w:val="0000FF"/>
            <w:sz w:val="24"/>
            <w:szCs w:val="24"/>
            <w:u w:val="single"/>
          </w:rPr>
          <w:t>https://wikis.ec.europa.eu/display/ExactExternalWiki/Annexes#Annexes-AnnexesA(Ch.2):General</w:t>
        </w:r>
      </w:hyperlink>
    </w:p>
    <w:p w:rsid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Në rastet kur përpunoni të dhëna personale në kontekstin e pjesëmarrjes në një tender (p.sh. profilet e ekspertëve kryesorë dhe teknikë) dhe/ose zbatimit të një kontrate (p.sh. zëvendësimi i ekspertëve), duhet t’i informoni përkatësisht subjektet e të dhënave për transmetimin e mundshëm të të dhënave të tyre te institucionet dhe organet e BE-së dhe t’u komunikoni atyre deklaratën e pri</w:t>
      </w:r>
      <w:r w:rsidR="0004153D">
        <w:rPr>
          <w:rFonts w:ascii="Times New Roman" w:eastAsia="Times New Roman" w:hAnsi="Times New Roman" w:cs="Times New Roman"/>
          <w:sz w:val="24"/>
          <w:szCs w:val="24"/>
        </w:rPr>
        <w:t>vatësisë të përmendur më sipër.</w:t>
      </w:r>
    </w:p>
    <w:p w:rsidR="0004153D" w:rsidRPr="002F1F98"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b/>
          <w:bCs/>
          <w:sz w:val="24"/>
          <w:szCs w:val="24"/>
        </w:rPr>
        <w:t>18. Sistemi i zbulimit të hershëm dhe përjashtimit</w:t>
      </w:r>
    </w:p>
    <w:p w:rsidR="0004153D" w:rsidRDefault="002F1F98" w:rsidP="0004153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Ofertuesit dhe, nëse janë persona juridikë, personat që kanë kompetenca për përfaqësim, vendimmarrje ose kontroll mbi ta, personi fizik ose juridik që merr përsipër përgjegjësi të </w:t>
      </w:r>
      <w:r w:rsidRPr="002F1F98">
        <w:rPr>
          <w:rFonts w:ascii="Times New Roman" w:eastAsia="Times New Roman" w:hAnsi="Times New Roman" w:cs="Times New Roman"/>
          <w:sz w:val="24"/>
          <w:szCs w:val="24"/>
        </w:rPr>
        <w:lastRenderedPageBreak/>
        <w:t>pakufizuar për borxhet, personi fizik ose juridik që është thelbësor për dhënien e kontratës ose për zbatimin e angazhimit juridik, pronari përfitues ose çdo filial i ofertuesit, informohen se, nëse ndodhen në një nga situatat e zbulimit të hershëm ose përjashtimit, të dhënat e tyre personale (emri, emri i dhënë nëse është person fizik, adresa, forma juridike) mund të regjistrohen në sistemin e zbulimit të hershëm dhe përjashtimit dhe t’u komunikohen personave dhe subjekteve të interesuara në lidhje me dhënien ose zbatimin e një kontrate prokurimi.</w:t>
      </w:r>
      <w:r w:rsidR="0004153D" w:rsidRPr="0004153D">
        <w:rPr>
          <w:rFonts w:ascii="Times New Roman" w:eastAsia="Times New Roman" w:hAnsi="Times New Roman" w:cs="Times New Roman"/>
          <w:sz w:val="24"/>
          <w:szCs w:val="24"/>
        </w:rPr>
        <w:t xml:space="preserve"> </w:t>
      </w:r>
    </w:p>
    <w:p w:rsidR="0004153D" w:rsidRPr="002F1F98" w:rsidRDefault="0004153D" w:rsidP="0004153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Ju lutemi vini re se Gazeta Zyrtare e BE-së përmban listën zyrtare të subjekteve që u nënshtrohen masave kufizuese dhe, në rast konflikti, ajo ka përparësi ndaj </w:t>
      </w:r>
      <w:hyperlink r:id="rId14" w:anchor="/main" w:tgtFrame="_blank" w:history="1">
        <w:r w:rsidRPr="002F1F98">
          <w:rPr>
            <w:rFonts w:ascii="Times New Roman" w:eastAsia="Times New Roman" w:hAnsi="Times New Roman" w:cs="Times New Roman"/>
            <w:i/>
            <w:iCs/>
            <w:color w:val="0000FF"/>
            <w:sz w:val="24"/>
            <w:szCs w:val="24"/>
            <w:u w:val="single"/>
          </w:rPr>
          <w:t>Hartës së Sanksioneve të BE-së</w:t>
        </w:r>
      </w:hyperlink>
      <w:r w:rsidRPr="002F1F98">
        <w:rPr>
          <w:rFonts w:ascii="Times New Roman" w:eastAsia="Times New Roman" w:hAnsi="Times New Roman" w:cs="Times New Roman"/>
          <w:sz w:val="24"/>
          <w:szCs w:val="24"/>
        </w:rPr>
        <w:t xml:space="preserve">. </w:t>
      </w:r>
      <w:hyperlink r:id="rId15" w:anchor="footnote-ref-1" w:history="1">
        <w:r w:rsidRPr="002F1F98">
          <w:rPr>
            <w:rFonts w:ascii="Times New Roman" w:eastAsia="Times New Roman" w:hAnsi="Times New Roman" w:cs="Times New Roman"/>
            <w:color w:val="0000FF"/>
            <w:sz w:val="24"/>
            <w:szCs w:val="24"/>
            <w:u w:val="single"/>
          </w:rPr>
          <w:t>↑</w:t>
        </w:r>
      </w:hyperlink>
    </w:p>
    <w:p w:rsidR="0004153D" w:rsidRPr="002F1F98" w:rsidRDefault="0004153D" w:rsidP="0004153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Rekomandohet përdorimi i postës së regjistruar në rast se vula postare nuk do të jetë e lexueshme</w:t>
      </w: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p>
    <w:p w:rsidR="002F1F98" w:rsidRP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xml:space="preserve">Për më shumë informacion, mund të konsultoni deklaratën e privatësisë në </w:t>
      </w:r>
      <w:hyperlink r:id="rId16" w:history="1">
        <w:r w:rsidRPr="002F1F98">
          <w:rPr>
            <w:rFonts w:ascii="Times New Roman" w:eastAsia="Times New Roman" w:hAnsi="Times New Roman" w:cs="Times New Roman"/>
            <w:color w:val="0000FF"/>
            <w:sz w:val="24"/>
            <w:szCs w:val="24"/>
            <w:u w:val="single"/>
          </w:rPr>
          <w:t>http://ec.europa.eu/budget/explained/management/protecting/protect_en.cfm</w:t>
        </w:r>
      </w:hyperlink>
      <w:r w:rsidRPr="002F1F98">
        <w:rPr>
          <w:rFonts w:ascii="Times New Roman" w:eastAsia="Times New Roman" w:hAnsi="Times New Roman" w:cs="Times New Roman"/>
          <w:sz w:val="24"/>
          <w:szCs w:val="24"/>
        </w:rPr>
        <w:t>.</w:t>
      </w:r>
    </w:p>
    <w:p w:rsidR="002F1F98" w:rsidRDefault="002F1F98" w:rsidP="002F1F98">
      <w:pPr>
        <w:spacing w:before="100" w:beforeAutospacing="1" w:after="100" w:afterAutospacing="1" w:line="240" w:lineRule="auto"/>
        <w:rPr>
          <w:rFonts w:ascii="Times New Roman" w:eastAsia="Times New Roman" w:hAnsi="Times New Roman" w:cs="Times New Roman"/>
          <w:sz w:val="24"/>
          <w:szCs w:val="24"/>
        </w:rPr>
      </w:pPr>
      <w:r w:rsidRPr="002F1F98">
        <w:rPr>
          <w:rFonts w:ascii="Times New Roman" w:eastAsia="Times New Roman" w:hAnsi="Times New Roman" w:cs="Times New Roman"/>
          <w:sz w:val="24"/>
          <w:szCs w:val="24"/>
        </w:rPr>
        <w:t>* * *</w:t>
      </w:r>
    </w:p>
    <w:p w:rsidR="0004153D"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04153D"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04153D" w:rsidRPr="002F1F98" w:rsidRDefault="0004153D" w:rsidP="002F1F98">
      <w:pPr>
        <w:spacing w:before="100" w:beforeAutospacing="1" w:after="100" w:afterAutospacing="1" w:line="240" w:lineRule="auto"/>
        <w:rPr>
          <w:rFonts w:ascii="Times New Roman" w:eastAsia="Times New Roman" w:hAnsi="Times New Roman" w:cs="Times New Roman"/>
          <w:sz w:val="24"/>
          <w:szCs w:val="24"/>
        </w:rPr>
      </w:pPr>
    </w:p>
    <w:p w:rsidR="002F1F98" w:rsidRDefault="00DD4512" w:rsidP="0004153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sectPr w:rsidR="002F1F9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747" w:rsidRDefault="00E57747" w:rsidP="002F1F98">
      <w:pPr>
        <w:spacing w:after="0" w:line="240" w:lineRule="auto"/>
      </w:pPr>
      <w:r>
        <w:separator/>
      </w:r>
    </w:p>
  </w:endnote>
  <w:endnote w:type="continuationSeparator" w:id="0">
    <w:p w:rsidR="00E57747" w:rsidRDefault="00E57747" w:rsidP="002F1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F98" w:rsidRPr="00A94AD3" w:rsidRDefault="002F1F98" w:rsidP="002F1F98">
    <w:pPr>
      <w:pStyle w:val="Footer"/>
      <w:tabs>
        <w:tab w:val="right" w:pos="8080"/>
      </w:tabs>
      <w:spacing w:before="120"/>
      <w:rPr>
        <w:rStyle w:val="PageNumber"/>
        <w:sz w:val="18"/>
        <w:szCs w:val="18"/>
      </w:rPr>
    </w:pPr>
    <w:r>
      <w:rPr>
        <w:b/>
      </w:rPr>
      <w:t>2025</w:t>
    </w:r>
    <w:r w:rsidRPr="002B370E">
      <w:rPr>
        <w:rFonts w:ascii="Arial" w:hAnsi="Arial"/>
      </w:rPr>
      <w:tab/>
    </w:r>
    <w:r>
      <w:rPr>
        <w:sz w:val="18"/>
        <w:szCs w:val="18"/>
      </w:rPr>
      <w:t xml:space="preserve"> </w:t>
    </w:r>
  </w:p>
  <w:p w:rsidR="002F1F98" w:rsidRDefault="002F1F98" w:rsidP="002F1F98">
    <w:pPr>
      <w:pStyle w:val="Footer"/>
    </w:pPr>
    <w:r>
      <w:rPr>
        <w:sz w:val="18"/>
        <w:szCs w:val="18"/>
      </w:rPr>
      <w:fldChar w:fldCharType="begin"/>
    </w:r>
    <w:r>
      <w:rPr>
        <w:sz w:val="18"/>
        <w:szCs w:val="18"/>
      </w:rPr>
      <w:instrText xml:space="preserve"> FILENAME   \* MERGEFORMAT </w:instrText>
    </w:r>
    <w:r>
      <w:rPr>
        <w:sz w:val="18"/>
        <w:szCs w:val="18"/>
      </w:rPr>
      <w:fldChar w:fldCharType="separate"/>
    </w:r>
    <w:r w:rsidR="00502CCD">
      <w:rPr>
        <w:noProof/>
        <w:sz w:val="18"/>
        <w:szCs w:val="18"/>
      </w:rPr>
      <w:t>b8o5_Udhezime per tenderuesit shqip</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747" w:rsidRDefault="00E57747" w:rsidP="002F1F98">
      <w:pPr>
        <w:spacing w:after="0" w:line="240" w:lineRule="auto"/>
      </w:pPr>
      <w:r>
        <w:separator/>
      </w:r>
    </w:p>
  </w:footnote>
  <w:footnote w:type="continuationSeparator" w:id="0">
    <w:p w:rsidR="00E57747" w:rsidRDefault="00E57747" w:rsidP="002F1F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A27B3"/>
    <w:multiLevelType w:val="multilevel"/>
    <w:tmpl w:val="88549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2019D"/>
    <w:multiLevelType w:val="multilevel"/>
    <w:tmpl w:val="48903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F4685"/>
    <w:multiLevelType w:val="multilevel"/>
    <w:tmpl w:val="1CD80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324651"/>
    <w:multiLevelType w:val="multilevel"/>
    <w:tmpl w:val="53C8B1A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85417"/>
    <w:multiLevelType w:val="multilevel"/>
    <w:tmpl w:val="9FC0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2E59E6"/>
    <w:multiLevelType w:val="multilevel"/>
    <w:tmpl w:val="1E5E5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EB15F9"/>
    <w:multiLevelType w:val="multilevel"/>
    <w:tmpl w:val="63A4E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6D02D8"/>
    <w:multiLevelType w:val="multilevel"/>
    <w:tmpl w:val="74AA3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E01C33"/>
    <w:multiLevelType w:val="multilevel"/>
    <w:tmpl w:val="FE2A5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F2AE1"/>
    <w:multiLevelType w:val="multilevel"/>
    <w:tmpl w:val="62B88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BC519D"/>
    <w:multiLevelType w:val="multilevel"/>
    <w:tmpl w:val="52CA7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A106CB"/>
    <w:multiLevelType w:val="multilevel"/>
    <w:tmpl w:val="7E4CA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7415E8"/>
    <w:multiLevelType w:val="multilevel"/>
    <w:tmpl w:val="39084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0665B6"/>
    <w:multiLevelType w:val="hybridMultilevel"/>
    <w:tmpl w:val="140C50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614E14"/>
    <w:multiLevelType w:val="multilevel"/>
    <w:tmpl w:val="2A00C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3E67FF"/>
    <w:multiLevelType w:val="hybridMultilevel"/>
    <w:tmpl w:val="9EDE41D4"/>
    <w:lvl w:ilvl="0" w:tplc="BC349D72">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CB77DE"/>
    <w:multiLevelType w:val="multilevel"/>
    <w:tmpl w:val="C8EEF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AB13D1"/>
    <w:multiLevelType w:val="multilevel"/>
    <w:tmpl w:val="BEE4B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EE0426"/>
    <w:multiLevelType w:val="multilevel"/>
    <w:tmpl w:val="AB5EB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435D37"/>
    <w:multiLevelType w:val="multilevel"/>
    <w:tmpl w:val="99D2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284883"/>
    <w:multiLevelType w:val="multilevel"/>
    <w:tmpl w:val="17D6AA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8E37D9"/>
    <w:multiLevelType w:val="multilevel"/>
    <w:tmpl w:val="679AF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4F4161"/>
    <w:multiLevelType w:val="multilevel"/>
    <w:tmpl w:val="CED67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E91755"/>
    <w:multiLevelType w:val="multilevel"/>
    <w:tmpl w:val="753E3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6966C8"/>
    <w:multiLevelType w:val="multilevel"/>
    <w:tmpl w:val="C7DCF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6"/>
  </w:num>
  <w:num w:numId="4">
    <w:abstractNumId w:val="23"/>
  </w:num>
  <w:num w:numId="5">
    <w:abstractNumId w:val="3"/>
  </w:num>
  <w:num w:numId="6">
    <w:abstractNumId w:val="19"/>
  </w:num>
  <w:num w:numId="7">
    <w:abstractNumId w:val="14"/>
  </w:num>
  <w:num w:numId="8">
    <w:abstractNumId w:val="18"/>
  </w:num>
  <w:num w:numId="9">
    <w:abstractNumId w:val="10"/>
  </w:num>
  <w:num w:numId="10">
    <w:abstractNumId w:val="24"/>
  </w:num>
  <w:num w:numId="11">
    <w:abstractNumId w:val="16"/>
  </w:num>
  <w:num w:numId="12">
    <w:abstractNumId w:val="17"/>
  </w:num>
  <w:num w:numId="13">
    <w:abstractNumId w:val="21"/>
  </w:num>
  <w:num w:numId="14">
    <w:abstractNumId w:val="11"/>
  </w:num>
  <w:num w:numId="15">
    <w:abstractNumId w:val="12"/>
  </w:num>
  <w:num w:numId="16">
    <w:abstractNumId w:val="20"/>
  </w:num>
  <w:num w:numId="17">
    <w:abstractNumId w:val="22"/>
  </w:num>
  <w:num w:numId="18">
    <w:abstractNumId w:val="5"/>
  </w:num>
  <w:num w:numId="19">
    <w:abstractNumId w:val="8"/>
  </w:num>
  <w:num w:numId="20">
    <w:abstractNumId w:val="4"/>
  </w:num>
  <w:num w:numId="21">
    <w:abstractNumId w:val="2"/>
  </w:num>
  <w:num w:numId="22">
    <w:abstractNumId w:val="0"/>
  </w:num>
  <w:num w:numId="23">
    <w:abstractNumId w:val="7"/>
  </w:num>
  <w:num w:numId="24">
    <w:abstractNumId w:val="1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F98"/>
    <w:rsid w:val="0004153D"/>
    <w:rsid w:val="00286B02"/>
    <w:rsid w:val="002F1F98"/>
    <w:rsid w:val="002F4295"/>
    <w:rsid w:val="00454C03"/>
    <w:rsid w:val="00502CCD"/>
    <w:rsid w:val="006D69D3"/>
    <w:rsid w:val="00813761"/>
    <w:rsid w:val="008F05BF"/>
    <w:rsid w:val="00B5367B"/>
    <w:rsid w:val="00D82173"/>
    <w:rsid w:val="00DD4512"/>
    <w:rsid w:val="00E5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66A742-AF9B-4AE6-B3AA-A4117662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1F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1F9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1F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1F98"/>
    <w:rPr>
      <w:b/>
      <w:bCs/>
    </w:rPr>
  </w:style>
  <w:style w:type="character" w:styleId="Hyperlink">
    <w:name w:val="Hyperlink"/>
    <w:basedOn w:val="DefaultParagraphFont"/>
    <w:uiPriority w:val="99"/>
    <w:semiHidden/>
    <w:unhideWhenUsed/>
    <w:rsid w:val="002F1F98"/>
    <w:rPr>
      <w:color w:val="0000FF"/>
      <w:u w:val="single"/>
    </w:rPr>
  </w:style>
  <w:style w:type="character" w:styleId="Emphasis">
    <w:name w:val="Emphasis"/>
    <w:basedOn w:val="DefaultParagraphFont"/>
    <w:uiPriority w:val="20"/>
    <w:qFormat/>
    <w:rsid w:val="002F1F98"/>
    <w:rPr>
      <w:i/>
      <w:iCs/>
    </w:rPr>
  </w:style>
  <w:style w:type="paragraph" w:styleId="Header">
    <w:name w:val="header"/>
    <w:basedOn w:val="Normal"/>
    <w:link w:val="HeaderChar"/>
    <w:uiPriority w:val="99"/>
    <w:unhideWhenUsed/>
    <w:rsid w:val="002F1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F98"/>
  </w:style>
  <w:style w:type="paragraph" w:styleId="Footer">
    <w:name w:val="footer"/>
    <w:basedOn w:val="Normal"/>
    <w:link w:val="FooterChar"/>
    <w:unhideWhenUsed/>
    <w:rsid w:val="002F1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F98"/>
  </w:style>
  <w:style w:type="paragraph" w:customStyle="1" w:styleId="Text3">
    <w:name w:val="Text 3"/>
    <w:basedOn w:val="Normal"/>
    <w:rsid w:val="002F1F98"/>
    <w:pPr>
      <w:tabs>
        <w:tab w:val="left" w:pos="2302"/>
      </w:tabs>
      <w:spacing w:after="240" w:line="240" w:lineRule="auto"/>
      <w:ind w:left="1202"/>
      <w:jc w:val="both"/>
    </w:pPr>
    <w:rPr>
      <w:rFonts w:ascii="Times New Roman" w:eastAsia="Times New Roman" w:hAnsi="Times New Roman" w:cs="Times New Roman"/>
      <w:sz w:val="24"/>
      <w:szCs w:val="20"/>
      <w:lang w:val="en-GB" w:eastAsia="en-GB"/>
    </w:rPr>
  </w:style>
  <w:style w:type="character" w:styleId="PageNumber">
    <w:name w:val="page number"/>
    <w:basedOn w:val="DefaultParagraphFont"/>
    <w:rsid w:val="002F1F98"/>
  </w:style>
  <w:style w:type="paragraph" w:styleId="ListParagraph">
    <w:name w:val="List Paragraph"/>
    <w:basedOn w:val="Normal"/>
    <w:uiPriority w:val="34"/>
    <w:qFormat/>
    <w:rsid w:val="002F1F98"/>
    <w:pPr>
      <w:ind w:left="720"/>
      <w:contextualSpacing/>
    </w:pPr>
  </w:style>
  <w:style w:type="paragraph" w:styleId="BalloonText">
    <w:name w:val="Balloon Text"/>
    <w:basedOn w:val="Normal"/>
    <w:link w:val="BalloonTextChar"/>
    <w:uiPriority w:val="99"/>
    <w:semiHidden/>
    <w:unhideWhenUsed/>
    <w:rsid w:val="00502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C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53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ePRAG" TargetMode="External"/><Relationship Id="rId13" Type="http://schemas.openxmlformats.org/officeDocument/2006/relationships/hyperlink" Target="https://wikis.ec.europa.eu/display/ExactExternalWiki/Annexes%22%20/l%20%22Annexes-AnnexesA(Ch.2):Gener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ikis.ec.europa.eu/display/ExactExternalWiki/3.+Service+Contract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ec.europa.eu/budget/explained/management/protecting/protect_en.cf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vlora.gov.al" TargetMode="External"/><Relationship Id="rId5" Type="http://schemas.openxmlformats.org/officeDocument/2006/relationships/footnotes" Target="footnotes.xml"/><Relationship Id="rId15" Type="http://schemas.openxmlformats.org/officeDocument/2006/relationships/hyperlink" Target="https://replit.com/chats/perkthim-duke-ruajtur-formatin-dhe-cnv_0kfymgej4k8jtt14svqx26yab7?sidebar=open" TargetMode="External"/><Relationship Id="rId10" Type="http://schemas.openxmlformats.org/officeDocument/2006/relationships/hyperlink" Target="https://wikis.ec.europa.eu/display/ExactExternalWiki/Annex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plit.com/chats/perkthim-duke-ruajtur-formatin-dhe-cnv_0kfymgej4k8jtt14svqx26yab7?sidebar=open" TargetMode="External"/><Relationship Id="rId14"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5358</Words>
  <Characters>30545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cp:lastPrinted>2026-09-17T12:32:00Z</cp:lastPrinted>
  <dcterms:created xsi:type="dcterms:W3CDTF">2026-09-17T12:32:00Z</dcterms:created>
  <dcterms:modified xsi:type="dcterms:W3CDTF">2026-09-21T06:58:00Z</dcterms:modified>
</cp:coreProperties>
</file>